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5C5" w:rsidRPr="002005C5" w:rsidRDefault="002005C5" w:rsidP="002005C5">
      <w:pPr>
        <w:spacing w:after="0"/>
        <w:rPr>
          <w:rFonts w:ascii="Arial" w:hAnsi="Arial" w:cs="Arial"/>
          <w:sz w:val="24"/>
          <w:szCs w:val="24"/>
        </w:rPr>
      </w:pPr>
      <w:r w:rsidRPr="002005C5">
        <w:rPr>
          <w:rFonts w:ascii="Arial" w:eastAsia="Arial" w:hAnsi="Arial"/>
          <w:noProof/>
          <w:sz w:val="24"/>
          <w:szCs w:val="24"/>
          <w:lang w:eastAsia="en-GB"/>
        </w:rPr>
        <w:drawing>
          <wp:anchor distT="0" distB="0" distL="114300" distR="114300" simplePos="0" relativeHeight="251659264" behindDoc="0" locked="0" layoutInCell="1" allowOverlap="1" wp14:anchorId="5C236A9E" wp14:editId="55BE1E71">
            <wp:simplePos x="0" y="0"/>
            <wp:positionH relativeFrom="column">
              <wp:posOffset>-237507</wp:posOffset>
            </wp:positionH>
            <wp:positionV relativeFrom="paragraph">
              <wp:posOffset>-534390</wp:posOffset>
            </wp:positionV>
            <wp:extent cx="2219960" cy="743585"/>
            <wp:effectExtent l="19050" t="0" r="9525" b="0"/>
            <wp:wrapNone/>
            <wp:docPr id="9" name="Picture 1" descr="/var/mobile/Containers/Data/Application/041DDDBE-2E03-4426-92AE-0FE3783D2FDE/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041DDDBE-2E03-4426-92AE-0FE3783D2FDE/Library/tmp1/image1.jpeg"/>
                    <pic:cNvPicPr>
                      <a:picLocks noChangeAspect="1" noChangeArrowheads="1"/>
                    </pic:cNvPicPr>
                  </pic:nvPicPr>
                  <pic:blipFill>
                    <a:blip r:embed="rId7"/>
                    <a:stretch>
                      <a:fillRect/>
                    </a:stretch>
                  </pic:blipFill>
                  <pic:spPr>
                    <a:xfrm>
                      <a:off x="0" y="0"/>
                      <a:ext cx="2219960" cy="743585"/>
                    </a:xfrm>
                    <a:prstGeom prst="rect">
                      <a:avLst/>
                    </a:prstGeom>
                    <a:noFill/>
                    <a:ln w="3175" cap="flat" cmpd="sng">
                      <a:noFill/>
                      <a:prstDash/>
                      <a:miter lim="800000"/>
                    </a:ln>
                  </pic:spPr>
                </pic:pic>
              </a:graphicData>
            </a:graphic>
          </wp:anchor>
        </w:drawing>
      </w:r>
    </w:p>
    <w:p w:rsidR="002005C5" w:rsidRPr="002005C5" w:rsidRDefault="002005C5" w:rsidP="002005C5">
      <w:pPr>
        <w:spacing w:after="0"/>
        <w:rPr>
          <w:rFonts w:ascii="Arial" w:hAnsi="Arial" w:cs="Arial"/>
          <w:b/>
          <w:sz w:val="24"/>
          <w:szCs w:val="24"/>
        </w:rPr>
      </w:pPr>
      <w:r w:rsidRPr="002005C5">
        <w:rPr>
          <w:rFonts w:ascii="Arial" w:hAnsi="Arial" w:cs="Arial"/>
          <w:b/>
          <w:sz w:val="24"/>
          <w:szCs w:val="24"/>
        </w:rPr>
        <w:t xml:space="preserve">Lancashire Enterprise Partnership Limited </w:t>
      </w:r>
    </w:p>
    <w:p w:rsidR="002005C5" w:rsidRPr="002005C5" w:rsidRDefault="002005C5" w:rsidP="002005C5">
      <w:pPr>
        <w:spacing w:after="0"/>
        <w:rPr>
          <w:rFonts w:ascii="Arial" w:hAnsi="Arial" w:cs="Arial"/>
          <w:b/>
          <w:sz w:val="24"/>
          <w:szCs w:val="24"/>
        </w:rPr>
      </w:pPr>
    </w:p>
    <w:p w:rsidR="002005C5" w:rsidRPr="002005C5" w:rsidRDefault="002005C5" w:rsidP="002005C5">
      <w:pPr>
        <w:spacing w:after="0"/>
        <w:rPr>
          <w:rFonts w:ascii="Arial" w:hAnsi="Arial" w:cs="Arial"/>
          <w:b/>
          <w:sz w:val="24"/>
          <w:szCs w:val="24"/>
        </w:rPr>
      </w:pPr>
      <w:r w:rsidRPr="002005C5">
        <w:rPr>
          <w:rFonts w:ascii="Arial" w:hAnsi="Arial" w:cs="Arial"/>
          <w:b/>
          <w:sz w:val="24"/>
          <w:szCs w:val="24"/>
        </w:rPr>
        <w:t>Private &amp; Confidential: NO</w:t>
      </w:r>
    </w:p>
    <w:p w:rsidR="002005C5" w:rsidRPr="002005C5" w:rsidRDefault="002005C5" w:rsidP="002005C5">
      <w:pPr>
        <w:spacing w:after="0"/>
        <w:rPr>
          <w:rFonts w:ascii="Arial" w:hAnsi="Arial" w:cs="Arial"/>
          <w:b/>
          <w:sz w:val="24"/>
          <w:szCs w:val="24"/>
        </w:rPr>
      </w:pPr>
    </w:p>
    <w:p w:rsidR="002005C5" w:rsidRPr="002005C5" w:rsidRDefault="002005C5" w:rsidP="002005C5">
      <w:pPr>
        <w:spacing w:after="0"/>
        <w:rPr>
          <w:rFonts w:ascii="Arial" w:hAnsi="Arial" w:cs="Arial"/>
          <w:b/>
          <w:sz w:val="24"/>
          <w:szCs w:val="24"/>
        </w:rPr>
      </w:pPr>
      <w:r w:rsidRPr="002005C5">
        <w:rPr>
          <w:rFonts w:ascii="Arial" w:hAnsi="Arial" w:cs="Arial"/>
          <w:b/>
          <w:sz w:val="24"/>
          <w:szCs w:val="24"/>
        </w:rPr>
        <w:t>Date:  6th October 2015</w:t>
      </w:r>
    </w:p>
    <w:p w:rsidR="002005C5" w:rsidRPr="002005C5" w:rsidRDefault="002005C5" w:rsidP="002005C5">
      <w:pPr>
        <w:spacing w:after="0"/>
        <w:rPr>
          <w:rFonts w:ascii="Arial" w:hAnsi="Arial" w:cs="Arial"/>
          <w:b/>
          <w:sz w:val="24"/>
          <w:szCs w:val="24"/>
        </w:rPr>
      </w:pPr>
    </w:p>
    <w:p w:rsidR="002005C5" w:rsidRPr="002005C5" w:rsidRDefault="002005C5" w:rsidP="002005C5">
      <w:pPr>
        <w:spacing w:after="0"/>
        <w:rPr>
          <w:rFonts w:ascii="Arial" w:hAnsi="Arial" w:cs="Arial"/>
          <w:b/>
          <w:sz w:val="24"/>
          <w:szCs w:val="24"/>
        </w:rPr>
      </w:pPr>
      <w:r w:rsidRPr="002005C5">
        <w:rPr>
          <w:rFonts w:ascii="Arial" w:hAnsi="Arial" w:cs="Arial"/>
          <w:b/>
          <w:sz w:val="24"/>
          <w:szCs w:val="24"/>
        </w:rPr>
        <w:t xml:space="preserve">LEP Performance Committee Update </w:t>
      </w:r>
    </w:p>
    <w:p w:rsidR="002005C5" w:rsidRPr="002005C5" w:rsidRDefault="002005C5" w:rsidP="002005C5">
      <w:pPr>
        <w:spacing w:after="0"/>
        <w:rPr>
          <w:rFonts w:ascii="Arial" w:hAnsi="Arial" w:cs="Arial"/>
          <w:b/>
          <w:sz w:val="24"/>
          <w:szCs w:val="24"/>
        </w:rPr>
      </w:pPr>
    </w:p>
    <w:p w:rsidR="002005C5" w:rsidRPr="002005C5" w:rsidRDefault="002005C5" w:rsidP="002005C5">
      <w:pPr>
        <w:spacing w:after="0"/>
        <w:rPr>
          <w:rFonts w:ascii="Arial" w:hAnsi="Arial" w:cs="Arial"/>
          <w:b/>
          <w:sz w:val="24"/>
          <w:szCs w:val="24"/>
        </w:rPr>
      </w:pPr>
      <w:r w:rsidRPr="002005C5">
        <w:rPr>
          <w:rFonts w:ascii="Arial" w:hAnsi="Arial" w:cs="Arial"/>
          <w:b/>
          <w:sz w:val="24"/>
          <w:szCs w:val="24"/>
        </w:rPr>
        <w:t>Report Author: Beckie Joyce</w:t>
      </w:r>
      <w:r w:rsidR="005E4B5B">
        <w:rPr>
          <w:rFonts w:ascii="Arial" w:hAnsi="Arial" w:cs="Arial"/>
          <w:b/>
          <w:sz w:val="24"/>
          <w:szCs w:val="24"/>
        </w:rPr>
        <w:t>, Head of Strategic Development, Lancashire County Council</w:t>
      </w:r>
    </w:p>
    <w:p w:rsidR="002005C5" w:rsidRDefault="002005C5" w:rsidP="002005C5">
      <w:pPr>
        <w:spacing w:after="0"/>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85315" w:rsidRPr="00085315" w:rsidTr="002D4443">
        <w:trPr>
          <w:trHeight w:val="2691"/>
        </w:trPr>
        <w:tc>
          <w:tcPr>
            <w:tcW w:w="9180" w:type="dxa"/>
          </w:tcPr>
          <w:p w:rsidR="00085315" w:rsidRPr="00085315" w:rsidRDefault="00085315" w:rsidP="00085315">
            <w:pPr>
              <w:spacing w:after="0"/>
              <w:jc w:val="both"/>
              <w:rPr>
                <w:rFonts w:ascii="Arial" w:hAnsi="Arial" w:cs="Arial"/>
                <w:b/>
                <w:sz w:val="24"/>
                <w:szCs w:val="24"/>
                <w:u w:val="single"/>
              </w:rPr>
            </w:pPr>
          </w:p>
          <w:p w:rsidR="00085315" w:rsidRPr="00085315" w:rsidRDefault="00085315" w:rsidP="00085315">
            <w:pPr>
              <w:keepNext/>
              <w:spacing w:after="0" w:line="240" w:lineRule="auto"/>
              <w:jc w:val="both"/>
              <w:outlineLvl w:val="5"/>
              <w:rPr>
                <w:rFonts w:ascii="Arial" w:eastAsia="Times New Roman" w:hAnsi="Arial" w:cs="Arial"/>
                <w:b/>
                <w:sz w:val="24"/>
                <w:szCs w:val="24"/>
              </w:rPr>
            </w:pPr>
            <w:r w:rsidRPr="00085315">
              <w:rPr>
                <w:rFonts w:ascii="Arial" w:eastAsia="Times New Roman" w:hAnsi="Arial" w:cs="Arial"/>
                <w:b/>
                <w:sz w:val="24"/>
                <w:szCs w:val="24"/>
              </w:rPr>
              <w:t>Executive Summary</w:t>
            </w:r>
          </w:p>
          <w:p w:rsidR="00085315" w:rsidRPr="00085315" w:rsidRDefault="00085315" w:rsidP="00085315">
            <w:pPr>
              <w:rPr>
                <w:rFonts w:ascii="Arial" w:hAnsi="Arial" w:cs="Arial"/>
                <w:sz w:val="24"/>
                <w:szCs w:val="24"/>
              </w:rPr>
            </w:pPr>
          </w:p>
          <w:p w:rsidR="00085315" w:rsidRDefault="00085315" w:rsidP="00085315">
            <w:pPr>
              <w:spacing w:after="0"/>
              <w:rPr>
                <w:rFonts w:ascii="Arial" w:hAnsi="Arial" w:cs="Arial"/>
                <w:sz w:val="24"/>
                <w:szCs w:val="24"/>
              </w:rPr>
            </w:pPr>
            <w:r w:rsidRPr="00085315">
              <w:rPr>
                <w:rFonts w:ascii="Arial" w:hAnsi="Arial" w:cs="Arial"/>
                <w:sz w:val="24"/>
                <w:szCs w:val="24"/>
              </w:rPr>
              <w:t>The purpose of this report is to update the Board on the progress made in establishing a programme of activity for the Performance Committee. In addition the LEP has been advised that the Government Internal Audit Agency (GIAA) is carrying out an audit of LEP's and that Lancashire has been randomly selected to be included in their first audit sample, this report provides further information on this.</w:t>
            </w:r>
          </w:p>
          <w:p w:rsidR="00085315" w:rsidRPr="00085315" w:rsidRDefault="00085315" w:rsidP="00085315">
            <w:pPr>
              <w:spacing w:after="0"/>
              <w:rPr>
                <w:rFonts w:ascii="Arial" w:hAnsi="Arial" w:cs="Arial"/>
                <w:sz w:val="24"/>
                <w:szCs w:val="24"/>
              </w:rPr>
            </w:pPr>
            <w:r w:rsidRPr="00085315">
              <w:rPr>
                <w:rFonts w:ascii="Arial" w:hAnsi="Arial" w:cs="Arial"/>
                <w:sz w:val="24"/>
                <w:szCs w:val="24"/>
              </w:rPr>
              <w:t xml:space="preserve"> </w:t>
            </w:r>
          </w:p>
          <w:p w:rsidR="00085315" w:rsidRDefault="00085315" w:rsidP="00085315">
            <w:pPr>
              <w:spacing w:after="0"/>
              <w:jc w:val="both"/>
              <w:rPr>
                <w:rFonts w:ascii="Arial" w:hAnsi="Arial" w:cs="Arial"/>
                <w:b/>
                <w:sz w:val="24"/>
                <w:szCs w:val="24"/>
              </w:rPr>
            </w:pPr>
            <w:r w:rsidRPr="00085315">
              <w:rPr>
                <w:rFonts w:ascii="Arial" w:hAnsi="Arial" w:cs="Arial"/>
                <w:b/>
                <w:sz w:val="24"/>
                <w:szCs w:val="24"/>
              </w:rPr>
              <w:t>Recommendations</w:t>
            </w:r>
          </w:p>
          <w:p w:rsidR="00085315" w:rsidRPr="00085315" w:rsidRDefault="00085315" w:rsidP="00085315">
            <w:pPr>
              <w:spacing w:after="0"/>
              <w:jc w:val="both"/>
              <w:rPr>
                <w:rFonts w:ascii="Arial" w:hAnsi="Arial" w:cs="Arial"/>
                <w:b/>
                <w:sz w:val="24"/>
                <w:szCs w:val="24"/>
              </w:rPr>
            </w:pPr>
          </w:p>
          <w:p w:rsidR="00085315" w:rsidRDefault="00085315" w:rsidP="00085315">
            <w:pPr>
              <w:spacing w:after="0"/>
              <w:rPr>
                <w:rFonts w:ascii="Arial" w:hAnsi="Arial" w:cs="Arial"/>
                <w:sz w:val="24"/>
                <w:szCs w:val="24"/>
              </w:rPr>
            </w:pPr>
            <w:r w:rsidRPr="002005C5">
              <w:rPr>
                <w:rFonts w:ascii="Arial" w:hAnsi="Arial" w:cs="Arial"/>
                <w:sz w:val="24"/>
                <w:szCs w:val="24"/>
              </w:rPr>
              <w:t xml:space="preserve">The Board is invited to: </w:t>
            </w:r>
          </w:p>
          <w:p w:rsidR="00085315" w:rsidRDefault="00085315" w:rsidP="00085315">
            <w:pPr>
              <w:spacing w:after="0"/>
              <w:rPr>
                <w:rFonts w:ascii="Arial" w:hAnsi="Arial" w:cs="Arial"/>
                <w:sz w:val="24"/>
                <w:szCs w:val="24"/>
              </w:rPr>
            </w:pPr>
          </w:p>
          <w:p w:rsidR="00085315" w:rsidRDefault="00085315" w:rsidP="00085315">
            <w:pPr>
              <w:pStyle w:val="ListParagraph"/>
              <w:numPr>
                <w:ilvl w:val="0"/>
                <w:numId w:val="7"/>
              </w:numPr>
              <w:spacing w:after="0"/>
              <w:rPr>
                <w:rFonts w:ascii="Arial" w:hAnsi="Arial" w:cs="Arial"/>
                <w:sz w:val="24"/>
                <w:szCs w:val="24"/>
              </w:rPr>
            </w:pPr>
            <w:r w:rsidRPr="00085315">
              <w:rPr>
                <w:rFonts w:ascii="Arial" w:hAnsi="Arial" w:cs="Arial"/>
                <w:sz w:val="24"/>
                <w:szCs w:val="24"/>
              </w:rPr>
              <w:t>Consider and endorse the risk</w:t>
            </w:r>
            <w:r>
              <w:rPr>
                <w:rFonts w:ascii="Arial" w:hAnsi="Arial" w:cs="Arial"/>
                <w:sz w:val="24"/>
                <w:szCs w:val="24"/>
              </w:rPr>
              <w:t xml:space="preserve"> register and core risk matrix;</w:t>
            </w:r>
          </w:p>
          <w:p w:rsidR="00085315" w:rsidRPr="00085315" w:rsidRDefault="00085315" w:rsidP="00085315">
            <w:pPr>
              <w:spacing w:after="0"/>
              <w:ind w:left="360"/>
              <w:rPr>
                <w:rFonts w:ascii="Arial" w:hAnsi="Arial" w:cs="Arial"/>
                <w:sz w:val="24"/>
                <w:szCs w:val="24"/>
              </w:rPr>
            </w:pPr>
          </w:p>
          <w:p w:rsidR="00085315" w:rsidRDefault="00085315" w:rsidP="00085315">
            <w:pPr>
              <w:pStyle w:val="ListParagraph"/>
              <w:numPr>
                <w:ilvl w:val="0"/>
                <w:numId w:val="7"/>
              </w:numPr>
              <w:spacing w:after="0"/>
              <w:rPr>
                <w:rFonts w:ascii="Arial" w:hAnsi="Arial" w:cs="Arial"/>
                <w:sz w:val="24"/>
                <w:szCs w:val="24"/>
              </w:rPr>
            </w:pPr>
            <w:r w:rsidRPr="00085315">
              <w:rPr>
                <w:rFonts w:ascii="Arial" w:hAnsi="Arial" w:cs="Arial"/>
                <w:sz w:val="24"/>
                <w:szCs w:val="24"/>
              </w:rPr>
              <w:t>Note the presentation made to the Scrutiny Committee of the LEP's accountable body, Lancashire County Council</w:t>
            </w:r>
            <w:r>
              <w:rPr>
                <w:rFonts w:ascii="Arial" w:hAnsi="Arial" w:cs="Arial"/>
                <w:sz w:val="24"/>
                <w:szCs w:val="24"/>
              </w:rPr>
              <w:t>;</w:t>
            </w:r>
          </w:p>
          <w:p w:rsidR="00085315" w:rsidRPr="00085315" w:rsidRDefault="00085315" w:rsidP="00085315">
            <w:pPr>
              <w:spacing w:after="0"/>
              <w:rPr>
                <w:rFonts w:ascii="Arial" w:hAnsi="Arial" w:cs="Arial"/>
                <w:sz w:val="24"/>
                <w:szCs w:val="24"/>
              </w:rPr>
            </w:pPr>
          </w:p>
          <w:p w:rsidR="00085315" w:rsidRDefault="00085315" w:rsidP="00085315">
            <w:pPr>
              <w:pStyle w:val="ListParagraph"/>
              <w:numPr>
                <w:ilvl w:val="0"/>
                <w:numId w:val="7"/>
              </w:numPr>
              <w:spacing w:after="0"/>
              <w:rPr>
                <w:rFonts w:ascii="Arial" w:hAnsi="Arial" w:cs="Arial"/>
                <w:sz w:val="24"/>
                <w:szCs w:val="24"/>
              </w:rPr>
            </w:pPr>
            <w:r w:rsidRPr="00085315">
              <w:rPr>
                <w:rFonts w:ascii="Arial" w:hAnsi="Arial" w:cs="Arial"/>
                <w:sz w:val="24"/>
                <w:szCs w:val="24"/>
              </w:rPr>
              <w:t>Request the Performance Committee, on behalf of the Board and supported by the relevant officers of the accountable body, oversee the audit by the Government Internal Audit Agency</w:t>
            </w:r>
            <w:r>
              <w:rPr>
                <w:rFonts w:ascii="Arial" w:hAnsi="Arial" w:cs="Arial"/>
                <w:sz w:val="24"/>
                <w:szCs w:val="24"/>
              </w:rPr>
              <w:t>; and</w:t>
            </w:r>
          </w:p>
          <w:p w:rsidR="00085315" w:rsidRPr="00085315" w:rsidRDefault="00085315" w:rsidP="00085315">
            <w:pPr>
              <w:spacing w:after="0"/>
              <w:rPr>
                <w:rFonts w:ascii="Arial" w:hAnsi="Arial" w:cs="Arial"/>
                <w:sz w:val="24"/>
                <w:szCs w:val="24"/>
              </w:rPr>
            </w:pPr>
          </w:p>
          <w:p w:rsidR="00085315" w:rsidRPr="00085315" w:rsidRDefault="00085315" w:rsidP="00085315">
            <w:pPr>
              <w:pStyle w:val="ListParagraph"/>
              <w:numPr>
                <w:ilvl w:val="0"/>
                <w:numId w:val="7"/>
              </w:numPr>
              <w:spacing w:after="0"/>
              <w:rPr>
                <w:rFonts w:ascii="Arial" w:hAnsi="Arial" w:cs="Arial"/>
                <w:sz w:val="24"/>
                <w:szCs w:val="24"/>
              </w:rPr>
            </w:pPr>
            <w:r w:rsidRPr="00085315">
              <w:rPr>
                <w:rFonts w:ascii="Arial" w:hAnsi="Arial" w:cs="Arial"/>
                <w:sz w:val="24"/>
                <w:szCs w:val="24"/>
              </w:rPr>
              <w:t xml:space="preserve">Request that a work programme for the Performance Committee be presented to the LEP Board at its December meeting.  </w:t>
            </w:r>
          </w:p>
          <w:p w:rsidR="00085315" w:rsidRPr="00085315" w:rsidRDefault="00085315" w:rsidP="00085315">
            <w:pPr>
              <w:spacing w:after="0"/>
              <w:rPr>
                <w:rFonts w:ascii="Arial" w:hAnsi="Arial" w:cs="Arial"/>
                <w:sz w:val="24"/>
                <w:szCs w:val="24"/>
              </w:rPr>
            </w:pPr>
          </w:p>
        </w:tc>
      </w:tr>
    </w:tbl>
    <w:p w:rsidR="00785A9E" w:rsidRDefault="00785A9E" w:rsidP="002005C5">
      <w:pPr>
        <w:spacing w:after="0"/>
        <w:rPr>
          <w:rFonts w:ascii="Arial" w:hAnsi="Arial" w:cs="Arial"/>
          <w:sz w:val="24"/>
          <w:szCs w:val="24"/>
        </w:rPr>
      </w:pPr>
    </w:p>
    <w:p w:rsidR="00A45B15" w:rsidRPr="00C277E4" w:rsidRDefault="00A45B15" w:rsidP="00C277E4">
      <w:pPr>
        <w:pStyle w:val="ListParagraph"/>
        <w:numPr>
          <w:ilvl w:val="0"/>
          <w:numId w:val="1"/>
        </w:numPr>
        <w:spacing w:after="0"/>
        <w:ind w:hanging="720"/>
        <w:rPr>
          <w:rFonts w:ascii="Arial" w:hAnsi="Arial" w:cs="Arial"/>
          <w:b/>
          <w:sz w:val="24"/>
          <w:szCs w:val="24"/>
        </w:rPr>
      </w:pPr>
      <w:r w:rsidRPr="00C277E4">
        <w:rPr>
          <w:rFonts w:ascii="Arial" w:hAnsi="Arial" w:cs="Arial"/>
          <w:b/>
          <w:sz w:val="24"/>
          <w:szCs w:val="24"/>
        </w:rPr>
        <w:t xml:space="preserve">Background and Advice </w:t>
      </w:r>
    </w:p>
    <w:p w:rsidR="00A45B15" w:rsidRDefault="00A45B15" w:rsidP="002005C5">
      <w:pPr>
        <w:spacing w:after="0"/>
        <w:rPr>
          <w:rFonts w:ascii="Arial" w:hAnsi="Arial" w:cs="Arial"/>
          <w:sz w:val="24"/>
          <w:szCs w:val="24"/>
        </w:rPr>
      </w:pPr>
    </w:p>
    <w:p w:rsidR="002005C5" w:rsidRPr="00C277E4" w:rsidRDefault="002005C5" w:rsidP="00C277E4">
      <w:pPr>
        <w:pStyle w:val="ListParagraph"/>
        <w:numPr>
          <w:ilvl w:val="1"/>
          <w:numId w:val="1"/>
        </w:numPr>
        <w:spacing w:after="0"/>
        <w:ind w:hanging="720"/>
        <w:rPr>
          <w:rFonts w:ascii="Arial" w:hAnsi="Arial" w:cs="Arial"/>
          <w:sz w:val="24"/>
          <w:szCs w:val="24"/>
        </w:rPr>
      </w:pPr>
      <w:r w:rsidRPr="00C277E4">
        <w:rPr>
          <w:rFonts w:ascii="Arial" w:hAnsi="Arial" w:cs="Arial"/>
          <w:sz w:val="24"/>
          <w:szCs w:val="24"/>
        </w:rPr>
        <w:t xml:space="preserve">The LEP Board approved Terms of Reference for its Performance Committee (PC) at its meeting in June 2015.  Richard Evans, Chair of the PC has now met with the majority of LEP Committee Chairs to gain an understanding of priorities, performance management and emerging risks. The Chair of the PC has also met relevant legal, financial and audit officers of the LEP's accountable body, Lancashire County Council to clarify roles, responsibilities </w:t>
      </w:r>
      <w:r w:rsidRPr="00C277E4">
        <w:rPr>
          <w:rFonts w:ascii="Arial" w:hAnsi="Arial" w:cs="Arial"/>
          <w:sz w:val="24"/>
          <w:szCs w:val="24"/>
        </w:rPr>
        <w:lastRenderedPageBreak/>
        <w:t>and requirements of the PC and the accountable body. This work has resulted in the development of a draft risk register and core risk matrix</w:t>
      </w:r>
      <w:r w:rsidR="00CE2CA9" w:rsidRPr="00C277E4">
        <w:rPr>
          <w:rFonts w:ascii="Arial" w:hAnsi="Arial" w:cs="Arial"/>
          <w:sz w:val="24"/>
          <w:szCs w:val="24"/>
        </w:rPr>
        <w:t>, set out in Appendix "A",</w:t>
      </w:r>
      <w:r w:rsidRPr="00C277E4">
        <w:rPr>
          <w:rFonts w:ascii="Arial" w:hAnsi="Arial" w:cs="Arial"/>
          <w:sz w:val="24"/>
          <w:szCs w:val="24"/>
        </w:rPr>
        <w:t xml:space="preserve"> for consideration by the Board. </w:t>
      </w:r>
    </w:p>
    <w:p w:rsidR="00C277E4" w:rsidRDefault="00C277E4" w:rsidP="00C277E4">
      <w:pPr>
        <w:spacing w:after="0"/>
        <w:rPr>
          <w:rFonts w:ascii="Arial" w:hAnsi="Arial" w:cs="Arial"/>
          <w:sz w:val="24"/>
          <w:szCs w:val="24"/>
        </w:rPr>
      </w:pPr>
    </w:p>
    <w:p w:rsidR="00C277E4" w:rsidRDefault="00C277E4" w:rsidP="00C277E4">
      <w:pPr>
        <w:spacing w:after="0"/>
        <w:ind w:left="720" w:hanging="720"/>
        <w:rPr>
          <w:rFonts w:ascii="Arial" w:hAnsi="Arial" w:cs="Arial"/>
          <w:sz w:val="24"/>
          <w:szCs w:val="24"/>
        </w:rPr>
      </w:pPr>
      <w:r>
        <w:rPr>
          <w:rFonts w:ascii="Arial" w:hAnsi="Arial" w:cs="Arial"/>
          <w:sz w:val="24"/>
          <w:szCs w:val="24"/>
        </w:rPr>
        <w:t>2.2</w:t>
      </w:r>
      <w:r>
        <w:rPr>
          <w:rFonts w:ascii="Arial" w:hAnsi="Arial" w:cs="Arial"/>
          <w:sz w:val="24"/>
          <w:szCs w:val="24"/>
        </w:rPr>
        <w:tab/>
        <w:t>The PC</w:t>
      </w:r>
      <w:r w:rsidRPr="002005C5">
        <w:rPr>
          <w:rFonts w:ascii="Arial" w:hAnsi="Arial" w:cs="Arial"/>
          <w:sz w:val="24"/>
          <w:szCs w:val="24"/>
        </w:rPr>
        <w:t xml:space="preserve"> will meet formally</w:t>
      </w:r>
      <w:r>
        <w:rPr>
          <w:rFonts w:ascii="Arial" w:hAnsi="Arial" w:cs="Arial"/>
          <w:sz w:val="24"/>
          <w:szCs w:val="24"/>
        </w:rPr>
        <w:t xml:space="preserve"> for the first time</w:t>
      </w:r>
      <w:r w:rsidRPr="002005C5">
        <w:rPr>
          <w:rFonts w:ascii="Arial" w:hAnsi="Arial" w:cs="Arial"/>
          <w:sz w:val="24"/>
          <w:szCs w:val="24"/>
        </w:rPr>
        <w:t xml:space="preserve"> in November </w:t>
      </w:r>
      <w:r>
        <w:rPr>
          <w:rFonts w:ascii="Arial" w:hAnsi="Arial" w:cs="Arial"/>
          <w:sz w:val="24"/>
          <w:szCs w:val="24"/>
        </w:rPr>
        <w:t xml:space="preserve">where it will discuss and agree a draft work programme for consideration by the LEP Board in December. </w:t>
      </w:r>
    </w:p>
    <w:p w:rsidR="002005C5" w:rsidRPr="002005C5" w:rsidRDefault="002005C5" w:rsidP="002005C5">
      <w:pPr>
        <w:spacing w:after="0"/>
        <w:rPr>
          <w:rFonts w:ascii="Arial" w:hAnsi="Arial" w:cs="Arial"/>
          <w:sz w:val="24"/>
          <w:szCs w:val="24"/>
        </w:rPr>
      </w:pPr>
    </w:p>
    <w:p w:rsidR="002005C5" w:rsidRPr="00FC7BC9" w:rsidRDefault="00FC7BC9" w:rsidP="00FC7BC9">
      <w:pPr>
        <w:spacing w:after="0"/>
        <w:ind w:left="720" w:hanging="720"/>
        <w:rPr>
          <w:rFonts w:ascii="Arial" w:hAnsi="Arial" w:cs="Arial"/>
          <w:sz w:val="24"/>
          <w:szCs w:val="24"/>
        </w:rPr>
      </w:pPr>
      <w:r>
        <w:rPr>
          <w:rFonts w:ascii="Arial" w:hAnsi="Arial" w:cs="Arial"/>
          <w:sz w:val="24"/>
          <w:szCs w:val="24"/>
        </w:rPr>
        <w:t xml:space="preserve">2.3 </w:t>
      </w:r>
      <w:r>
        <w:rPr>
          <w:rFonts w:ascii="Arial" w:hAnsi="Arial" w:cs="Arial"/>
          <w:sz w:val="24"/>
          <w:szCs w:val="24"/>
        </w:rPr>
        <w:tab/>
      </w:r>
      <w:r w:rsidR="002005C5" w:rsidRPr="00FC7BC9">
        <w:rPr>
          <w:rFonts w:ascii="Arial" w:hAnsi="Arial" w:cs="Arial"/>
          <w:sz w:val="24"/>
          <w:szCs w:val="24"/>
        </w:rPr>
        <w:t xml:space="preserve">As part of the development process of the LEP's Assurance Framework the Scrutiny Committee of the accountable body requested that it be kept informed of the work of the LEP. Graham </w:t>
      </w:r>
      <w:proofErr w:type="spellStart"/>
      <w:r w:rsidR="002005C5" w:rsidRPr="00FC7BC9">
        <w:rPr>
          <w:rFonts w:ascii="Arial" w:hAnsi="Arial" w:cs="Arial"/>
          <w:sz w:val="24"/>
          <w:szCs w:val="24"/>
        </w:rPr>
        <w:t>Cowley</w:t>
      </w:r>
      <w:proofErr w:type="spellEnd"/>
      <w:r w:rsidR="002005C5" w:rsidRPr="00FC7BC9">
        <w:rPr>
          <w:rFonts w:ascii="Arial" w:hAnsi="Arial" w:cs="Arial"/>
          <w:sz w:val="24"/>
          <w:szCs w:val="24"/>
        </w:rPr>
        <w:t>, supported by officers of the accountable body, made a presentation</w:t>
      </w:r>
      <w:r w:rsidR="00CE2CA9" w:rsidRPr="00FC7BC9">
        <w:rPr>
          <w:rFonts w:ascii="Arial" w:hAnsi="Arial" w:cs="Arial"/>
          <w:sz w:val="24"/>
          <w:szCs w:val="24"/>
        </w:rPr>
        <w:t xml:space="preserve"> to </w:t>
      </w:r>
      <w:r w:rsidR="008A3C3A">
        <w:rPr>
          <w:rFonts w:ascii="Arial" w:hAnsi="Arial" w:cs="Arial"/>
          <w:sz w:val="24"/>
          <w:szCs w:val="24"/>
        </w:rPr>
        <w:t xml:space="preserve">this </w:t>
      </w:r>
      <w:r w:rsidR="00CE2CA9" w:rsidRPr="00FC7BC9">
        <w:rPr>
          <w:rFonts w:ascii="Arial" w:hAnsi="Arial" w:cs="Arial"/>
          <w:sz w:val="24"/>
          <w:szCs w:val="24"/>
        </w:rPr>
        <w:t>Committee in September. The presentation focused on the progress of the LEP's key initiatives</w:t>
      </w:r>
      <w:r w:rsidR="008A3C3A">
        <w:rPr>
          <w:rFonts w:ascii="Arial" w:hAnsi="Arial" w:cs="Arial"/>
          <w:sz w:val="24"/>
          <w:szCs w:val="24"/>
        </w:rPr>
        <w:t xml:space="preserve"> and </w:t>
      </w:r>
      <w:r w:rsidR="00CE2CA9" w:rsidRPr="00FC7BC9">
        <w:rPr>
          <w:rFonts w:ascii="Arial" w:hAnsi="Arial" w:cs="Arial"/>
          <w:sz w:val="24"/>
          <w:szCs w:val="24"/>
        </w:rPr>
        <w:t xml:space="preserve">was well received by the Members, who requested </w:t>
      </w:r>
      <w:r w:rsidR="00C277E4" w:rsidRPr="00FC7BC9">
        <w:rPr>
          <w:rFonts w:ascii="Arial" w:hAnsi="Arial" w:cs="Arial"/>
          <w:sz w:val="24"/>
          <w:szCs w:val="24"/>
        </w:rPr>
        <w:t>that a</w:t>
      </w:r>
      <w:r w:rsidR="00CE2CA9" w:rsidRPr="00FC7BC9">
        <w:rPr>
          <w:rFonts w:ascii="Arial" w:hAnsi="Arial" w:cs="Arial"/>
          <w:sz w:val="24"/>
          <w:szCs w:val="24"/>
        </w:rPr>
        <w:t xml:space="preserve"> </w:t>
      </w:r>
      <w:r w:rsidR="008A3C3A">
        <w:rPr>
          <w:rFonts w:ascii="Arial" w:hAnsi="Arial" w:cs="Arial"/>
          <w:sz w:val="24"/>
          <w:szCs w:val="24"/>
        </w:rPr>
        <w:t xml:space="preserve">future </w:t>
      </w:r>
      <w:r w:rsidR="00CE2CA9" w:rsidRPr="00FC7BC9">
        <w:rPr>
          <w:rFonts w:ascii="Arial" w:hAnsi="Arial" w:cs="Arial"/>
          <w:sz w:val="24"/>
          <w:szCs w:val="24"/>
        </w:rPr>
        <w:t xml:space="preserve">presentation </w:t>
      </w:r>
      <w:r w:rsidR="00C277E4" w:rsidRPr="00FC7BC9">
        <w:rPr>
          <w:rFonts w:ascii="Arial" w:hAnsi="Arial" w:cs="Arial"/>
          <w:sz w:val="24"/>
          <w:szCs w:val="24"/>
        </w:rPr>
        <w:t>be made by</w:t>
      </w:r>
      <w:r w:rsidR="00CE2CA9" w:rsidRPr="00FC7BC9">
        <w:rPr>
          <w:rFonts w:ascii="Arial" w:hAnsi="Arial" w:cs="Arial"/>
          <w:sz w:val="24"/>
          <w:szCs w:val="24"/>
        </w:rPr>
        <w:t xml:space="preserve"> the Homes and Communities Agency </w:t>
      </w:r>
      <w:r w:rsidR="00C277E4" w:rsidRPr="00FC7BC9">
        <w:rPr>
          <w:rFonts w:ascii="Arial" w:hAnsi="Arial" w:cs="Arial"/>
          <w:sz w:val="24"/>
          <w:szCs w:val="24"/>
        </w:rPr>
        <w:t xml:space="preserve">on its work across Lancashire. </w:t>
      </w:r>
    </w:p>
    <w:p w:rsidR="00FC7BC9" w:rsidRDefault="00FC7BC9" w:rsidP="00FC7BC9">
      <w:pPr>
        <w:spacing w:after="0"/>
        <w:rPr>
          <w:rFonts w:ascii="Arial" w:hAnsi="Arial" w:cs="Arial"/>
          <w:sz w:val="24"/>
          <w:szCs w:val="24"/>
        </w:rPr>
      </w:pPr>
    </w:p>
    <w:p w:rsidR="00FC7BC9" w:rsidRDefault="00FC7BC9" w:rsidP="00FC7BC9">
      <w:pPr>
        <w:spacing w:after="0"/>
        <w:ind w:left="720" w:hanging="720"/>
        <w:rPr>
          <w:rFonts w:ascii="Arial" w:hAnsi="Arial" w:cs="Arial"/>
          <w:sz w:val="24"/>
          <w:szCs w:val="24"/>
        </w:rPr>
      </w:pPr>
      <w:r>
        <w:rPr>
          <w:rFonts w:ascii="Arial" w:hAnsi="Arial" w:cs="Arial"/>
          <w:sz w:val="24"/>
          <w:szCs w:val="24"/>
        </w:rPr>
        <w:t>2.4</w:t>
      </w:r>
      <w:r>
        <w:rPr>
          <w:rFonts w:ascii="Arial" w:hAnsi="Arial" w:cs="Arial"/>
          <w:sz w:val="24"/>
          <w:szCs w:val="24"/>
        </w:rPr>
        <w:tab/>
      </w:r>
      <w:r w:rsidR="002005C5" w:rsidRPr="00FC7BC9">
        <w:rPr>
          <w:rFonts w:ascii="Arial" w:hAnsi="Arial" w:cs="Arial"/>
          <w:sz w:val="24"/>
          <w:szCs w:val="24"/>
        </w:rPr>
        <w:t>Government ha</w:t>
      </w:r>
      <w:r w:rsidR="005E4B5B">
        <w:rPr>
          <w:rFonts w:ascii="Arial" w:hAnsi="Arial" w:cs="Arial"/>
          <w:sz w:val="24"/>
          <w:szCs w:val="24"/>
        </w:rPr>
        <w:t>s</w:t>
      </w:r>
      <w:r w:rsidR="002005C5" w:rsidRPr="00FC7BC9">
        <w:rPr>
          <w:rFonts w:ascii="Arial" w:hAnsi="Arial" w:cs="Arial"/>
          <w:sz w:val="24"/>
          <w:szCs w:val="24"/>
        </w:rPr>
        <w:t xml:space="preserve"> previously advised </w:t>
      </w:r>
      <w:r w:rsidR="008A3C3A">
        <w:rPr>
          <w:rFonts w:ascii="Arial" w:hAnsi="Arial" w:cs="Arial"/>
          <w:sz w:val="24"/>
          <w:szCs w:val="24"/>
        </w:rPr>
        <w:t xml:space="preserve">all 39 LEPs </w:t>
      </w:r>
      <w:r w:rsidR="002005C5" w:rsidRPr="00FC7BC9">
        <w:rPr>
          <w:rFonts w:ascii="Arial" w:hAnsi="Arial" w:cs="Arial"/>
          <w:sz w:val="24"/>
          <w:szCs w:val="24"/>
        </w:rPr>
        <w:t xml:space="preserve">that a number of </w:t>
      </w:r>
      <w:r w:rsidR="008A3C3A">
        <w:rPr>
          <w:rFonts w:ascii="Arial" w:hAnsi="Arial" w:cs="Arial"/>
          <w:sz w:val="24"/>
          <w:szCs w:val="24"/>
        </w:rPr>
        <w:t xml:space="preserve">audit </w:t>
      </w:r>
      <w:r w:rsidR="002005C5" w:rsidRPr="00FC7BC9">
        <w:rPr>
          <w:rFonts w:ascii="Arial" w:hAnsi="Arial" w:cs="Arial"/>
          <w:sz w:val="24"/>
          <w:szCs w:val="24"/>
        </w:rPr>
        <w:t>reviews would be undertaken</w:t>
      </w:r>
      <w:r w:rsidR="008A3C3A">
        <w:rPr>
          <w:rFonts w:ascii="Arial" w:hAnsi="Arial" w:cs="Arial"/>
          <w:sz w:val="24"/>
          <w:szCs w:val="24"/>
        </w:rPr>
        <w:t xml:space="preserve"> with </w:t>
      </w:r>
      <w:r w:rsidR="002005C5" w:rsidRPr="00FC7BC9">
        <w:rPr>
          <w:rFonts w:ascii="Arial" w:hAnsi="Arial" w:cs="Arial"/>
          <w:sz w:val="24"/>
          <w:szCs w:val="24"/>
        </w:rPr>
        <w:t xml:space="preserve">some </w:t>
      </w:r>
      <w:r w:rsidR="008A3C3A">
        <w:rPr>
          <w:rFonts w:ascii="Arial" w:hAnsi="Arial" w:cs="Arial"/>
          <w:sz w:val="24"/>
          <w:szCs w:val="24"/>
        </w:rPr>
        <w:t xml:space="preserve">undertaken </w:t>
      </w:r>
      <w:r w:rsidR="002005C5" w:rsidRPr="00FC7BC9">
        <w:rPr>
          <w:rFonts w:ascii="Arial" w:hAnsi="Arial" w:cs="Arial"/>
          <w:sz w:val="24"/>
          <w:szCs w:val="24"/>
        </w:rPr>
        <w:t xml:space="preserve">by the National Audit Office and </w:t>
      </w:r>
      <w:r w:rsidR="008A3C3A">
        <w:rPr>
          <w:rFonts w:ascii="Arial" w:hAnsi="Arial" w:cs="Arial"/>
          <w:sz w:val="24"/>
          <w:szCs w:val="24"/>
        </w:rPr>
        <w:t xml:space="preserve">others </w:t>
      </w:r>
      <w:r w:rsidR="002005C5" w:rsidRPr="00FC7BC9">
        <w:rPr>
          <w:rFonts w:ascii="Arial" w:hAnsi="Arial" w:cs="Arial"/>
          <w:sz w:val="24"/>
          <w:szCs w:val="24"/>
        </w:rPr>
        <w:t xml:space="preserve">by an internal audit and assessment team </w:t>
      </w:r>
      <w:r w:rsidR="008A3C3A">
        <w:rPr>
          <w:rFonts w:ascii="Arial" w:hAnsi="Arial" w:cs="Arial"/>
          <w:sz w:val="24"/>
          <w:szCs w:val="24"/>
        </w:rPr>
        <w:t xml:space="preserve">based in </w:t>
      </w:r>
      <w:r w:rsidR="002005C5" w:rsidRPr="00FC7BC9">
        <w:rPr>
          <w:rFonts w:ascii="Arial" w:hAnsi="Arial" w:cs="Arial"/>
          <w:sz w:val="24"/>
          <w:szCs w:val="24"/>
        </w:rPr>
        <w:t xml:space="preserve">Government. Government </w:t>
      </w:r>
      <w:r w:rsidR="008A3C3A">
        <w:rPr>
          <w:rFonts w:ascii="Arial" w:hAnsi="Arial" w:cs="Arial"/>
          <w:sz w:val="24"/>
          <w:szCs w:val="24"/>
        </w:rPr>
        <w:t xml:space="preserve">officials </w:t>
      </w:r>
      <w:r w:rsidR="002005C5" w:rsidRPr="00FC7BC9">
        <w:rPr>
          <w:rFonts w:ascii="Arial" w:hAnsi="Arial" w:cs="Arial"/>
          <w:sz w:val="24"/>
          <w:szCs w:val="24"/>
        </w:rPr>
        <w:t>have now confir</w:t>
      </w:r>
      <w:r w:rsidR="00C277E4" w:rsidRPr="00FC7BC9">
        <w:rPr>
          <w:rFonts w:ascii="Arial" w:hAnsi="Arial" w:cs="Arial"/>
          <w:sz w:val="24"/>
          <w:szCs w:val="24"/>
        </w:rPr>
        <w:t xml:space="preserve">med that the Lancashire </w:t>
      </w:r>
      <w:r w:rsidR="006B4323">
        <w:rPr>
          <w:rFonts w:ascii="Arial" w:hAnsi="Arial" w:cs="Arial"/>
          <w:sz w:val="24"/>
          <w:szCs w:val="24"/>
        </w:rPr>
        <w:t xml:space="preserve">has been </w:t>
      </w:r>
      <w:r w:rsidR="00C277E4" w:rsidRPr="00FC7BC9">
        <w:rPr>
          <w:rFonts w:ascii="Arial" w:hAnsi="Arial" w:cs="Arial"/>
          <w:sz w:val="24"/>
          <w:szCs w:val="24"/>
        </w:rPr>
        <w:t xml:space="preserve">selected to be included in the GIAA audit of LEPs. </w:t>
      </w:r>
    </w:p>
    <w:p w:rsidR="00FC7BC9" w:rsidRDefault="00FC7BC9" w:rsidP="00FC7BC9">
      <w:pPr>
        <w:spacing w:after="0"/>
        <w:ind w:left="720" w:hanging="720"/>
        <w:rPr>
          <w:rFonts w:ascii="Arial" w:hAnsi="Arial" w:cs="Arial"/>
          <w:sz w:val="24"/>
          <w:szCs w:val="24"/>
        </w:rPr>
      </w:pPr>
    </w:p>
    <w:p w:rsidR="00FC7BC9" w:rsidRDefault="00FC7BC9" w:rsidP="00F117F9">
      <w:pPr>
        <w:spacing w:after="0"/>
        <w:ind w:left="720" w:hanging="720"/>
        <w:rPr>
          <w:rFonts w:ascii="Arial" w:hAnsi="Arial" w:cs="Arial"/>
          <w:sz w:val="24"/>
          <w:szCs w:val="24"/>
        </w:rPr>
      </w:pPr>
      <w:r>
        <w:rPr>
          <w:rFonts w:ascii="Arial" w:hAnsi="Arial" w:cs="Arial"/>
          <w:sz w:val="24"/>
          <w:szCs w:val="24"/>
        </w:rPr>
        <w:t>2.5</w:t>
      </w:r>
      <w:r>
        <w:rPr>
          <w:rFonts w:ascii="Arial" w:hAnsi="Arial" w:cs="Arial"/>
          <w:sz w:val="24"/>
          <w:szCs w:val="24"/>
        </w:rPr>
        <w:tab/>
      </w:r>
      <w:r w:rsidR="008A3C3A">
        <w:rPr>
          <w:rFonts w:ascii="Arial" w:hAnsi="Arial" w:cs="Arial"/>
          <w:sz w:val="24"/>
          <w:szCs w:val="24"/>
        </w:rPr>
        <w:t xml:space="preserve">The objective of the Government </w:t>
      </w:r>
      <w:r w:rsidR="00A45B15" w:rsidRPr="00FC7BC9">
        <w:rPr>
          <w:rFonts w:ascii="Arial" w:hAnsi="Arial" w:cs="Arial"/>
          <w:sz w:val="24"/>
          <w:szCs w:val="24"/>
        </w:rPr>
        <w:t xml:space="preserve">audit </w:t>
      </w:r>
      <w:r w:rsidR="008A3C3A">
        <w:rPr>
          <w:rFonts w:ascii="Arial" w:hAnsi="Arial" w:cs="Arial"/>
          <w:sz w:val="24"/>
          <w:szCs w:val="24"/>
        </w:rPr>
        <w:t xml:space="preserve">process </w:t>
      </w:r>
      <w:r w:rsidR="00A45B15" w:rsidRPr="00FC7BC9">
        <w:rPr>
          <w:rFonts w:ascii="Arial" w:hAnsi="Arial" w:cs="Arial"/>
          <w:sz w:val="24"/>
          <w:szCs w:val="24"/>
        </w:rPr>
        <w:t xml:space="preserve">is to provide independent and objective assurance </w:t>
      </w:r>
      <w:r w:rsidR="006B4323">
        <w:rPr>
          <w:rFonts w:ascii="Arial" w:hAnsi="Arial" w:cs="Arial"/>
          <w:sz w:val="24"/>
          <w:szCs w:val="24"/>
        </w:rPr>
        <w:t xml:space="preserve">(but not the scrutiny) of LEP </w:t>
      </w:r>
      <w:r w:rsidR="00A45B15" w:rsidRPr="00FC7BC9">
        <w:rPr>
          <w:rFonts w:ascii="Arial" w:hAnsi="Arial" w:cs="Arial"/>
          <w:sz w:val="24"/>
          <w:szCs w:val="24"/>
        </w:rPr>
        <w:t>assurance system</w:t>
      </w:r>
      <w:r w:rsidR="008A3C3A">
        <w:rPr>
          <w:rFonts w:ascii="Arial" w:hAnsi="Arial" w:cs="Arial"/>
          <w:sz w:val="24"/>
          <w:szCs w:val="24"/>
        </w:rPr>
        <w:t>s</w:t>
      </w:r>
      <w:r w:rsidR="00A45B15" w:rsidRPr="00FC7BC9">
        <w:rPr>
          <w:rFonts w:ascii="Arial" w:hAnsi="Arial" w:cs="Arial"/>
          <w:sz w:val="24"/>
          <w:szCs w:val="24"/>
        </w:rPr>
        <w:t xml:space="preserve">, specifically to: </w:t>
      </w:r>
    </w:p>
    <w:p w:rsidR="008A3C3A" w:rsidRPr="00FC7BC9" w:rsidRDefault="008A3C3A" w:rsidP="00F117F9">
      <w:pPr>
        <w:spacing w:after="0"/>
        <w:ind w:left="720" w:hanging="720"/>
        <w:rPr>
          <w:rFonts w:ascii="Arial" w:hAnsi="Arial" w:cs="Arial"/>
          <w:sz w:val="24"/>
          <w:szCs w:val="24"/>
        </w:rPr>
      </w:pPr>
    </w:p>
    <w:p w:rsidR="00A45B15" w:rsidRDefault="00A45B15" w:rsidP="00FC7BC9">
      <w:pPr>
        <w:pStyle w:val="Default"/>
        <w:numPr>
          <w:ilvl w:val="0"/>
          <w:numId w:val="3"/>
        </w:numPr>
        <w:spacing w:after="83"/>
      </w:pPr>
      <w:r w:rsidRPr="00FC7BC9">
        <w:t xml:space="preserve">Clarify whether LEPs have produced and published key documents and policies for governance and transparency purposes in line with the </w:t>
      </w:r>
      <w:r w:rsidR="008A3C3A">
        <w:t xml:space="preserve">Government's </w:t>
      </w:r>
      <w:r w:rsidRPr="00FC7BC9">
        <w:t xml:space="preserve">policy; </w:t>
      </w:r>
    </w:p>
    <w:p w:rsidR="00A45B15" w:rsidRDefault="00A45B15" w:rsidP="00A45B15">
      <w:pPr>
        <w:pStyle w:val="Default"/>
        <w:numPr>
          <w:ilvl w:val="0"/>
          <w:numId w:val="3"/>
        </w:numPr>
        <w:spacing w:after="83"/>
      </w:pPr>
      <w:r w:rsidRPr="00FC7BC9">
        <w:t>Confirm to what extent these are effecti</w:t>
      </w:r>
      <w:r w:rsidR="00FC7BC9">
        <w:t>ve and being complied with; and</w:t>
      </w:r>
    </w:p>
    <w:p w:rsidR="00A45B15" w:rsidRDefault="00A45B15" w:rsidP="00A45B15">
      <w:pPr>
        <w:pStyle w:val="Default"/>
        <w:numPr>
          <w:ilvl w:val="0"/>
          <w:numId w:val="3"/>
        </w:numPr>
        <w:spacing w:after="83"/>
      </w:pPr>
      <w:r w:rsidRPr="00FC7BC9">
        <w:t xml:space="preserve">Review the strength of </w:t>
      </w:r>
      <w:r w:rsidR="008A3C3A">
        <w:t xml:space="preserve">LEP </w:t>
      </w:r>
      <w:r w:rsidRPr="00FC7BC9">
        <w:t xml:space="preserve">local assurance frameworks, which cover their activity across a range of local growth programmes, their design and operational effectiveness. </w:t>
      </w:r>
    </w:p>
    <w:p w:rsidR="008A3C3A" w:rsidRDefault="008A3C3A" w:rsidP="008A3C3A">
      <w:pPr>
        <w:pStyle w:val="Default"/>
        <w:spacing w:after="83"/>
        <w:ind w:left="1440"/>
      </w:pPr>
    </w:p>
    <w:p w:rsidR="00A45B15" w:rsidRDefault="00FC7BC9" w:rsidP="00FC7BC9">
      <w:pPr>
        <w:pStyle w:val="Default"/>
        <w:spacing w:after="83"/>
      </w:pPr>
      <w:r>
        <w:t>2.6</w:t>
      </w:r>
      <w:r>
        <w:tab/>
        <w:t>The audit</w:t>
      </w:r>
      <w:r w:rsidR="00A45B15" w:rsidRPr="00FC7BC9">
        <w:t xml:space="preserve"> work </w:t>
      </w:r>
      <w:r>
        <w:t xml:space="preserve">is likely to be undertaken in the following areas: </w:t>
      </w:r>
    </w:p>
    <w:p w:rsidR="00FC7BC9" w:rsidRDefault="00A45B15" w:rsidP="004F0C57">
      <w:pPr>
        <w:pStyle w:val="Default"/>
        <w:numPr>
          <w:ilvl w:val="0"/>
          <w:numId w:val="5"/>
        </w:numPr>
        <w:spacing w:after="83"/>
      </w:pPr>
      <w:r w:rsidRPr="00FC7BC9">
        <w:t>Reliability and quality of LEP self-reporting, in relation to how robust and reliable data and info</w:t>
      </w:r>
      <w:r w:rsidR="00FC7BC9">
        <w:t xml:space="preserve">rmation is to inform reporting; </w:t>
      </w:r>
    </w:p>
    <w:p w:rsidR="00A45B15" w:rsidRDefault="00A45B15" w:rsidP="004F0C57">
      <w:pPr>
        <w:pStyle w:val="Default"/>
        <w:numPr>
          <w:ilvl w:val="0"/>
          <w:numId w:val="5"/>
        </w:numPr>
        <w:spacing w:after="83"/>
      </w:pPr>
      <w:r w:rsidRPr="00FC7BC9">
        <w:t xml:space="preserve">Transparency, in relation to how LEPs operate, utilise financial resources and make decisions; </w:t>
      </w:r>
    </w:p>
    <w:p w:rsidR="00A45B15" w:rsidRDefault="00A45B15" w:rsidP="00A45B15">
      <w:pPr>
        <w:pStyle w:val="Default"/>
        <w:numPr>
          <w:ilvl w:val="0"/>
          <w:numId w:val="5"/>
        </w:numPr>
        <w:spacing w:after="83"/>
      </w:pPr>
      <w:r w:rsidRPr="00FC7BC9">
        <w:t>Governance and accountability of dec</w:t>
      </w:r>
      <w:r w:rsidR="008A3C3A">
        <w:t>isions, in relation to the LEP B</w:t>
      </w:r>
      <w:r w:rsidRPr="00FC7BC9">
        <w:t xml:space="preserve">oard and accountable local authority; </w:t>
      </w:r>
    </w:p>
    <w:p w:rsidR="00A45B15" w:rsidRDefault="00A45B15" w:rsidP="00A45B15">
      <w:pPr>
        <w:pStyle w:val="Default"/>
        <w:numPr>
          <w:ilvl w:val="0"/>
          <w:numId w:val="5"/>
        </w:numPr>
        <w:spacing w:after="83"/>
      </w:pPr>
      <w:r w:rsidRPr="00FC7BC9">
        <w:t xml:space="preserve">Value for money and business case development, in relation to the effectiveness of LEPs to appraise and approve business cases; and </w:t>
      </w:r>
    </w:p>
    <w:p w:rsidR="00A45B15" w:rsidRPr="00FC7BC9" w:rsidRDefault="00A45B15" w:rsidP="00A45B15">
      <w:pPr>
        <w:pStyle w:val="Default"/>
        <w:numPr>
          <w:ilvl w:val="0"/>
          <w:numId w:val="5"/>
        </w:numPr>
        <w:spacing w:after="83"/>
      </w:pPr>
      <w:r w:rsidRPr="00FC7BC9">
        <w:lastRenderedPageBreak/>
        <w:t xml:space="preserve">Implementation and delivery, in relation to the monitoring arrangements that LEPs have in place to support effective and efficient delivery. </w:t>
      </w:r>
    </w:p>
    <w:p w:rsidR="00A45B15" w:rsidRPr="00FC7BC9" w:rsidRDefault="00A45B15" w:rsidP="00A45B15">
      <w:pPr>
        <w:pStyle w:val="Default"/>
      </w:pPr>
    </w:p>
    <w:p w:rsidR="00A45B15" w:rsidRPr="00FC7BC9" w:rsidRDefault="00FC7BC9" w:rsidP="00F117F9">
      <w:pPr>
        <w:pStyle w:val="Default"/>
        <w:ind w:left="720" w:hanging="720"/>
        <w:rPr>
          <w:color w:val="auto"/>
        </w:rPr>
      </w:pPr>
      <w:r>
        <w:rPr>
          <w:color w:val="auto"/>
        </w:rPr>
        <w:t xml:space="preserve">2.7 </w:t>
      </w:r>
      <w:r>
        <w:rPr>
          <w:color w:val="auto"/>
        </w:rPr>
        <w:tab/>
      </w:r>
      <w:r w:rsidR="00F117F9">
        <w:rPr>
          <w:color w:val="auto"/>
        </w:rPr>
        <w:t>A pack of information requested by the</w:t>
      </w:r>
      <w:r>
        <w:rPr>
          <w:color w:val="auto"/>
        </w:rPr>
        <w:t xml:space="preserve"> GIAA </w:t>
      </w:r>
      <w:r w:rsidR="00F117F9">
        <w:rPr>
          <w:color w:val="auto"/>
        </w:rPr>
        <w:t>is being compiled which will be followed by a meeting with the GIAA, who are likely to wish to meet with relevant delivery and implementation officers, at a date to be confirmed later in October.</w:t>
      </w:r>
    </w:p>
    <w:p w:rsidR="002005C5" w:rsidRPr="002005C5" w:rsidRDefault="002005C5" w:rsidP="002005C5">
      <w:pPr>
        <w:spacing w:after="0"/>
        <w:rPr>
          <w:rFonts w:ascii="Arial" w:hAnsi="Arial" w:cs="Arial"/>
          <w:sz w:val="24"/>
          <w:szCs w:val="24"/>
        </w:rPr>
      </w:pPr>
    </w:p>
    <w:p w:rsidR="00085315" w:rsidRDefault="00085315">
      <w:pPr>
        <w:rPr>
          <w:rFonts w:ascii="Arial" w:hAnsi="Arial" w:cs="Arial"/>
          <w:sz w:val="24"/>
          <w:szCs w:val="24"/>
        </w:rPr>
      </w:pPr>
      <w:r>
        <w:rPr>
          <w:rFonts w:ascii="Arial" w:hAnsi="Arial" w:cs="Arial"/>
          <w:sz w:val="24"/>
          <w:szCs w:val="24"/>
        </w:rPr>
        <w:br w:type="page"/>
      </w:r>
    </w:p>
    <w:p w:rsidR="00094A37" w:rsidRDefault="00094A37" w:rsidP="00F117F9">
      <w:pPr>
        <w:spacing w:after="0"/>
        <w:ind w:left="426" w:hanging="284"/>
        <w:rPr>
          <w:rStyle w:val="CharAttribute17"/>
          <w:szCs w:val="24"/>
        </w:rPr>
        <w:sectPr w:rsidR="00094A37" w:rsidSect="00094A37">
          <w:footerReference w:type="default" r:id="rId8"/>
          <w:pgSz w:w="11906" w:h="16838"/>
          <w:pgMar w:top="1440" w:right="1440" w:bottom="1440" w:left="1440" w:header="708" w:footer="708" w:gutter="0"/>
          <w:cols w:space="708"/>
          <w:docGrid w:linePitch="360"/>
        </w:sectPr>
      </w:pPr>
    </w:p>
    <w:p w:rsidR="00094A37" w:rsidRPr="00A429C6" w:rsidRDefault="00094A37" w:rsidP="00094A37">
      <w:pPr>
        <w:pStyle w:val="ParaAttribute0"/>
        <w:rPr>
          <w:rFonts w:ascii="Arial" w:eastAsia="Calibri" w:hAnsi="Arial" w:cs="Arial"/>
        </w:rPr>
      </w:pPr>
      <w:r w:rsidRPr="00A429C6">
        <w:rPr>
          <w:rStyle w:val="CharAttribute17"/>
          <w:rFonts w:ascii="Arial" w:hAnsi="Arial" w:cs="Arial"/>
          <w:szCs w:val="24"/>
        </w:rPr>
        <w:lastRenderedPageBreak/>
        <w:t>LEP</w:t>
      </w:r>
      <w:r w:rsidRPr="00A429C6">
        <w:rPr>
          <w:rStyle w:val="CharAttribute4"/>
          <w:rFonts w:ascii="Arial" w:hAnsi="Arial" w:cs="Arial"/>
          <w:szCs w:val="24"/>
        </w:rPr>
        <w:t xml:space="preserve"> RISK TABLE – </w:t>
      </w:r>
      <w:r w:rsidRPr="00A429C6">
        <w:rPr>
          <w:rStyle w:val="CharAttribute17"/>
          <w:rFonts w:ascii="Arial" w:hAnsi="Arial" w:cs="Arial"/>
          <w:szCs w:val="24"/>
        </w:rPr>
        <w:t>September</w:t>
      </w:r>
      <w:r w:rsidRPr="00A429C6">
        <w:rPr>
          <w:rStyle w:val="CharAttribute4"/>
          <w:rFonts w:ascii="Arial" w:hAnsi="Arial" w:cs="Arial"/>
          <w:szCs w:val="24"/>
        </w:rPr>
        <w:t xml:space="preserve"> 2015 – WORKING DRAFT</w:t>
      </w:r>
    </w:p>
    <w:tbl>
      <w:tblPr>
        <w:tblStyle w:val="TableGrid"/>
        <w:tblW w:w="0" w:type="auto"/>
        <w:tblLook w:val="04A0" w:firstRow="1" w:lastRow="0" w:firstColumn="1" w:lastColumn="0" w:noHBand="0" w:noVBand="1"/>
      </w:tblPr>
      <w:tblGrid>
        <w:gridCol w:w="1783"/>
        <w:gridCol w:w="439"/>
        <w:gridCol w:w="5322"/>
        <w:gridCol w:w="6404"/>
      </w:tblGrid>
      <w:tr w:rsidR="00CD1ADD" w:rsidTr="00A429C6">
        <w:tc>
          <w:tcPr>
            <w:tcW w:w="0" w:type="auto"/>
          </w:tcPr>
          <w:p w:rsidR="00CD1ADD" w:rsidRPr="00094A37" w:rsidRDefault="00CD1ADD" w:rsidP="002005C5">
            <w:pPr>
              <w:rPr>
                <w:rFonts w:ascii="Arial" w:hAnsi="Arial" w:cs="Arial"/>
                <w:b/>
                <w:sz w:val="20"/>
                <w:szCs w:val="24"/>
              </w:rPr>
            </w:pPr>
            <w:r w:rsidRPr="00094A37">
              <w:rPr>
                <w:rFonts w:ascii="Arial" w:hAnsi="Arial" w:cs="Arial"/>
                <w:b/>
                <w:sz w:val="20"/>
                <w:szCs w:val="24"/>
              </w:rPr>
              <w:t>ATEGORY</w:t>
            </w:r>
          </w:p>
        </w:tc>
        <w:tc>
          <w:tcPr>
            <w:tcW w:w="0" w:type="auto"/>
          </w:tcPr>
          <w:p w:rsidR="00CD1ADD" w:rsidRPr="00094A37" w:rsidRDefault="00CD1ADD" w:rsidP="002005C5">
            <w:pPr>
              <w:rPr>
                <w:rFonts w:ascii="Arial" w:hAnsi="Arial" w:cs="Arial"/>
                <w:b/>
                <w:sz w:val="20"/>
                <w:szCs w:val="24"/>
              </w:rPr>
            </w:pPr>
          </w:p>
        </w:tc>
        <w:tc>
          <w:tcPr>
            <w:tcW w:w="0" w:type="auto"/>
          </w:tcPr>
          <w:p w:rsidR="00CD1ADD" w:rsidRPr="00094A37" w:rsidRDefault="00CD1ADD" w:rsidP="002005C5">
            <w:pPr>
              <w:rPr>
                <w:rFonts w:ascii="Arial" w:hAnsi="Arial" w:cs="Arial"/>
                <w:b/>
                <w:sz w:val="20"/>
                <w:szCs w:val="24"/>
              </w:rPr>
            </w:pPr>
            <w:r w:rsidRPr="00094A37">
              <w:rPr>
                <w:rFonts w:ascii="Arial" w:hAnsi="Arial" w:cs="Arial"/>
                <w:b/>
                <w:sz w:val="20"/>
                <w:szCs w:val="24"/>
              </w:rPr>
              <w:t>IDENTIFIED RISK</w:t>
            </w:r>
          </w:p>
        </w:tc>
        <w:tc>
          <w:tcPr>
            <w:tcW w:w="0" w:type="auto"/>
          </w:tcPr>
          <w:p w:rsidR="00CD1ADD" w:rsidRPr="00094A37" w:rsidRDefault="00CD1ADD" w:rsidP="002005C5">
            <w:pPr>
              <w:rPr>
                <w:rFonts w:ascii="Arial" w:hAnsi="Arial" w:cs="Arial"/>
                <w:b/>
                <w:sz w:val="20"/>
                <w:szCs w:val="24"/>
              </w:rPr>
            </w:pPr>
            <w:r w:rsidRPr="00094A37">
              <w:rPr>
                <w:rFonts w:ascii="Arial" w:hAnsi="Arial" w:cs="Arial"/>
                <w:b/>
                <w:sz w:val="20"/>
                <w:szCs w:val="24"/>
              </w:rPr>
              <w:t>MITIGATION</w:t>
            </w:r>
          </w:p>
        </w:tc>
      </w:tr>
      <w:tr w:rsidR="00CD1ADD" w:rsidTr="00A429C6">
        <w:tc>
          <w:tcPr>
            <w:tcW w:w="0" w:type="auto"/>
          </w:tcPr>
          <w:p w:rsidR="00CD1ADD" w:rsidRPr="00094A37" w:rsidRDefault="00CD1ADD" w:rsidP="002005C5">
            <w:pPr>
              <w:rPr>
                <w:rFonts w:ascii="Arial" w:hAnsi="Arial" w:cs="Arial"/>
                <w:b/>
                <w:sz w:val="20"/>
                <w:szCs w:val="24"/>
              </w:rPr>
            </w:pPr>
            <w:r w:rsidRPr="00094A37">
              <w:rPr>
                <w:rFonts w:ascii="Arial" w:hAnsi="Arial" w:cs="Arial"/>
                <w:b/>
                <w:sz w:val="20"/>
                <w:szCs w:val="24"/>
              </w:rPr>
              <w:t>FINANCIAL</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1</w:t>
            </w:r>
          </w:p>
        </w:tc>
        <w:tc>
          <w:tcPr>
            <w:tcW w:w="0" w:type="auto"/>
          </w:tcPr>
          <w:p w:rsidR="00CD1ADD" w:rsidRPr="00094A37" w:rsidRDefault="00CD1ADD" w:rsidP="002005C5">
            <w:pPr>
              <w:rPr>
                <w:rFonts w:ascii="Arial" w:hAnsi="Arial" w:cs="Arial"/>
                <w:sz w:val="20"/>
                <w:szCs w:val="24"/>
              </w:rPr>
            </w:pPr>
            <w:r w:rsidRPr="00094A37">
              <w:rPr>
                <w:rStyle w:val="CharAttribute6"/>
                <w:sz w:val="20"/>
              </w:rPr>
              <w:t>Project goes over budget and PS unable to identify resources to complete projects (GD)</w:t>
            </w:r>
          </w:p>
        </w:tc>
        <w:tc>
          <w:tcPr>
            <w:tcW w:w="0" w:type="auto"/>
          </w:tcPr>
          <w:p w:rsidR="00CD1ADD" w:rsidRPr="00094A37" w:rsidRDefault="00CD1ADD" w:rsidP="00CD1ADD">
            <w:pPr>
              <w:rPr>
                <w:rFonts w:ascii="Arial" w:hAnsi="Arial" w:cs="Arial"/>
                <w:sz w:val="20"/>
                <w:szCs w:val="24"/>
              </w:rPr>
            </w:pPr>
            <w:r w:rsidRPr="00094A37">
              <w:rPr>
                <w:rFonts w:ascii="Arial" w:hAnsi="Arial" w:cs="Arial"/>
                <w:sz w:val="20"/>
                <w:szCs w:val="24"/>
              </w:rPr>
              <w:t xml:space="preserve">All Growth Deal projects require a Local Growth Fund (LGF) agreement to be in place prior to draw down of LGF resources from the AB. The LGF agreements need to evidence that there are sufficient resources to complete the project. The agreements state that any cost over-run be met the PS. Change control procedures are set out in in the LGF agreements and on a </w:t>
            </w:r>
            <w:r w:rsidR="00094A37">
              <w:rPr>
                <w:rFonts w:ascii="Arial" w:hAnsi="Arial" w:cs="Arial"/>
                <w:sz w:val="20"/>
                <w:szCs w:val="24"/>
              </w:rPr>
              <w:t xml:space="preserve">quarterly basis PS </w:t>
            </w:r>
            <w:r w:rsidRPr="00094A37">
              <w:rPr>
                <w:rFonts w:ascii="Arial" w:hAnsi="Arial" w:cs="Arial"/>
                <w:sz w:val="20"/>
                <w:szCs w:val="24"/>
              </w:rPr>
              <w:t>needs to alert the AB to any cost over-runs. Mechanisms are in place, through the GDMB, to allow the PS to present a revised business case which could be considered by the LEP Board.</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2</w:t>
            </w:r>
          </w:p>
        </w:tc>
        <w:tc>
          <w:tcPr>
            <w:tcW w:w="0" w:type="auto"/>
          </w:tcPr>
          <w:p w:rsidR="00CD1ADD" w:rsidRPr="00094A37" w:rsidRDefault="00CD1ADD" w:rsidP="002005C5">
            <w:pPr>
              <w:rPr>
                <w:rFonts w:ascii="Arial" w:hAnsi="Arial" w:cs="Arial"/>
                <w:sz w:val="20"/>
                <w:szCs w:val="24"/>
              </w:rPr>
            </w:pPr>
            <w:r w:rsidRPr="00094A37">
              <w:rPr>
                <w:rStyle w:val="CharAttribute6"/>
                <w:sz w:val="20"/>
              </w:rPr>
              <w:t>PS unable to repay loans (GPF)</w:t>
            </w:r>
          </w:p>
        </w:tc>
        <w:tc>
          <w:tcPr>
            <w:tcW w:w="0" w:type="auto"/>
          </w:tcPr>
          <w:p w:rsidR="00CD1ADD" w:rsidRPr="00094A37" w:rsidRDefault="00CD1ADD" w:rsidP="00094A37">
            <w:pPr>
              <w:rPr>
                <w:rFonts w:ascii="Arial" w:hAnsi="Arial" w:cs="Arial"/>
                <w:sz w:val="20"/>
                <w:szCs w:val="24"/>
              </w:rPr>
            </w:pPr>
            <w:r w:rsidRPr="00094A37">
              <w:rPr>
                <w:rFonts w:ascii="Arial" w:hAnsi="Arial" w:cs="Arial"/>
                <w:sz w:val="20"/>
                <w:szCs w:val="24"/>
              </w:rPr>
              <w:t xml:space="preserve">All GP investments are supported by a GPF agreement which ensures that the AB has the necessary provision (through, </w:t>
            </w:r>
            <w:proofErr w:type="spellStart"/>
            <w:r w:rsidRPr="00094A37">
              <w:rPr>
                <w:rFonts w:ascii="Arial" w:hAnsi="Arial" w:cs="Arial"/>
                <w:sz w:val="20"/>
                <w:szCs w:val="24"/>
              </w:rPr>
              <w:t>eg</w:t>
            </w:r>
            <w:proofErr w:type="spellEnd"/>
            <w:r w:rsidRPr="00094A37">
              <w:rPr>
                <w:rFonts w:ascii="Arial" w:hAnsi="Arial" w:cs="Arial"/>
                <w:sz w:val="20"/>
                <w:szCs w:val="24"/>
              </w:rPr>
              <w:t>, step in rights, assigned rental rights or direct land transfer) to ensure that</w:t>
            </w:r>
            <w:r w:rsidR="00094A37">
              <w:rPr>
                <w:rFonts w:ascii="Arial" w:hAnsi="Arial" w:cs="Arial"/>
                <w:sz w:val="20"/>
                <w:szCs w:val="24"/>
              </w:rPr>
              <w:t xml:space="preserve"> the AB is able to protect and</w:t>
            </w:r>
            <w:r w:rsidRPr="00094A37">
              <w:rPr>
                <w:rFonts w:ascii="Arial" w:hAnsi="Arial" w:cs="Arial"/>
                <w:sz w:val="20"/>
                <w:szCs w:val="24"/>
              </w:rPr>
              <w:t xml:space="preserve"> recover its investments. PS have an ongoing responsibility from the outset to demonstrate that they have the ability to repay the investment. Mechanisms are in place, to allow the PS to present a revised repayment profile should this need to be considered by the LEP Board.</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3</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 xml:space="preserve">AB needing to </w:t>
            </w:r>
            <w:proofErr w:type="spellStart"/>
            <w:r w:rsidRPr="00094A37">
              <w:rPr>
                <w:rFonts w:ascii="Arial" w:hAnsi="Arial" w:cs="Arial"/>
                <w:sz w:val="20"/>
                <w:szCs w:val="24"/>
              </w:rPr>
              <w:t>clawback</w:t>
            </w:r>
            <w:proofErr w:type="spellEnd"/>
            <w:r w:rsidRPr="00094A37">
              <w:rPr>
                <w:rFonts w:ascii="Arial" w:hAnsi="Arial" w:cs="Arial"/>
                <w:sz w:val="20"/>
                <w:szCs w:val="24"/>
              </w:rPr>
              <w:t xml:space="preserve"> funding (GD)  </w:t>
            </w:r>
          </w:p>
        </w:tc>
        <w:tc>
          <w:tcPr>
            <w:tcW w:w="0" w:type="auto"/>
          </w:tcPr>
          <w:p w:rsidR="00CD1ADD" w:rsidRPr="00094A37" w:rsidRDefault="00CD1ADD" w:rsidP="00CD1ADD">
            <w:pPr>
              <w:rPr>
                <w:rFonts w:ascii="Arial" w:hAnsi="Arial" w:cs="Arial"/>
                <w:sz w:val="20"/>
                <w:szCs w:val="24"/>
              </w:rPr>
            </w:pPr>
            <w:r w:rsidRPr="00094A37">
              <w:rPr>
                <w:rFonts w:ascii="Arial" w:hAnsi="Arial" w:cs="Arial"/>
                <w:sz w:val="20"/>
                <w:szCs w:val="24"/>
              </w:rPr>
              <w:t xml:space="preserve">All LGF agreements make provision for the AB to </w:t>
            </w:r>
            <w:proofErr w:type="spellStart"/>
            <w:r w:rsidRPr="00094A37">
              <w:rPr>
                <w:rFonts w:ascii="Arial" w:hAnsi="Arial" w:cs="Arial"/>
                <w:sz w:val="20"/>
                <w:szCs w:val="24"/>
              </w:rPr>
              <w:t>clawback</w:t>
            </w:r>
            <w:proofErr w:type="spellEnd"/>
            <w:r w:rsidRPr="00094A37">
              <w:rPr>
                <w:rFonts w:ascii="Arial" w:hAnsi="Arial" w:cs="Arial"/>
                <w:sz w:val="20"/>
                <w:szCs w:val="24"/>
              </w:rPr>
              <w:t xml:space="preserve"> funding. This course of action would be reported to the GDMB.</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4</w:t>
            </w:r>
          </w:p>
        </w:tc>
        <w:tc>
          <w:tcPr>
            <w:tcW w:w="0" w:type="auto"/>
          </w:tcPr>
          <w:p w:rsidR="00CD1ADD" w:rsidRPr="00094A37" w:rsidRDefault="00CD1ADD" w:rsidP="005E4B5B">
            <w:pPr>
              <w:rPr>
                <w:rFonts w:ascii="Arial" w:hAnsi="Arial" w:cs="Arial"/>
                <w:sz w:val="20"/>
                <w:szCs w:val="24"/>
              </w:rPr>
            </w:pPr>
            <w:r w:rsidRPr="00094A37">
              <w:rPr>
                <w:rFonts w:ascii="Arial" w:hAnsi="Arial" w:cs="Arial"/>
                <w:sz w:val="20"/>
                <w:szCs w:val="24"/>
              </w:rPr>
              <w:t>AB unable to continue to cash flow major infrastructure schemes (CD) or service agreed borrowing (EZ)</w:t>
            </w:r>
          </w:p>
        </w:tc>
        <w:tc>
          <w:tcPr>
            <w:tcW w:w="0" w:type="auto"/>
          </w:tcPr>
          <w:p w:rsidR="00CD1ADD" w:rsidRPr="00094A37" w:rsidRDefault="00CD1ADD" w:rsidP="00CD1ADD">
            <w:pPr>
              <w:rPr>
                <w:rFonts w:ascii="Arial" w:hAnsi="Arial" w:cs="Arial"/>
                <w:sz w:val="20"/>
                <w:szCs w:val="24"/>
              </w:rPr>
            </w:pPr>
            <w:r w:rsidRPr="00094A37">
              <w:rPr>
                <w:rFonts w:ascii="Arial" w:hAnsi="Arial" w:cs="Arial"/>
                <w:sz w:val="20"/>
                <w:szCs w:val="24"/>
              </w:rPr>
              <w:t>The schemes are monitored effectively by the programme office and finance governance arrangements of the LEP; requirements for cash flow and borrowing are fed into the AB budgeting process each year and variances reported through the normal process in year.</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A429C6">
              <w:rPr>
                <w:rFonts w:ascii="Arial" w:hAnsi="Arial" w:cs="Arial"/>
                <w:sz w:val="20"/>
                <w:szCs w:val="24"/>
                <w:highlight w:val="yellow"/>
              </w:rPr>
              <w:t>5</w:t>
            </w:r>
          </w:p>
        </w:tc>
        <w:tc>
          <w:tcPr>
            <w:tcW w:w="0" w:type="auto"/>
          </w:tcPr>
          <w:p w:rsidR="00CD1ADD" w:rsidRPr="00094A37" w:rsidRDefault="00CD1ADD" w:rsidP="005E4B5B">
            <w:pPr>
              <w:rPr>
                <w:rFonts w:ascii="Arial" w:hAnsi="Arial" w:cs="Arial"/>
                <w:sz w:val="20"/>
                <w:szCs w:val="24"/>
              </w:rPr>
            </w:pPr>
            <w:r w:rsidRPr="00094A37">
              <w:rPr>
                <w:rFonts w:ascii="Arial" w:hAnsi="Arial" w:cs="Arial"/>
                <w:sz w:val="20"/>
                <w:szCs w:val="24"/>
              </w:rPr>
              <w:t>Income from housing and dev</w:t>
            </w:r>
            <w:r w:rsidR="005E4B5B">
              <w:rPr>
                <w:rFonts w:ascii="Arial" w:hAnsi="Arial" w:cs="Arial"/>
                <w:sz w:val="20"/>
                <w:szCs w:val="24"/>
              </w:rPr>
              <w:t xml:space="preserve">elopment </w:t>
            </w:r>
            <w:r w:rsidRPr="00094A37">
              <w:rPr>
                <w:rFonts w:ascii="Arial" w:hAnsi="Arial" w:cs="Arial"/>
                <w:sz w:val="20"/>
                <w:szCs w:val="24"/>
              </w:rPr>
              <w:t>streams not flowing as forecast (CD)</w:t>
            </w:r>
          </w:p>
        </w:tc>
        <w:tc>
          <w:tcPr>
            <w:tcW w:w="0" w:type="auto"/>
          </w:tcPr>
          <w:p w:rsidR="00CD1ADD" w:rsidRPr="00094A37" w:rsidRDefault="00CD1ADD" w:rsidP="00094A37">
            <w:pPr>
              <w:rPr>
                <w:rFonts w:ascii="Arial" w:hAnsi="Arial" w:cs="Arial"/>
                <w:sz w:val="20"/>
                <w:szCs w:val="24"/>
              </w:rPr>
            </w:pPr>
            <w:r w:rsidRPr="00094A37">
              <w:rPr>
                <w:rFonts w:ascii="Arial" w:hAnsi="Arial" w:cs="Arial"/>
                <w:sz w:val="20"/>
                <w:szCs w:val="24"/>
              </w:rPr>
              <w:t>CD is governed by robust financial arrangement</w:t>
            </w:r>
            <w:r w:rsidR="00094A37">
              <w:rPr>
                <w:rFonts w:ascii="Arial" w:hAnsi="Arial" w:cs="Arial"/>
                <w:sz w:val="20"/>
                <w:szCs w:val="24"/>
              </w:rPr>
              <w:t>s involving all partners in the</w:t>
            </w:r>
            <w:r w:rsidRPr="00094A37">
              <w:rPr>
                <w:rFonts w:ascii="Arial" w:hAnsi="Arial" w:cs="Arial"/>
                <w:sz w:val="20"/>
                <w:szCs w:val="24"/>
              </w:rPr>
              <w:t xml:space="preserve"> city</w:t>
            </w:r>
            <w:r w:rsidR="00094A37">
              <w:rPr>
                <w:rFonts w:ascii="Arial" w:hAnsi="Arial" w:cs="Arial"/>
                <w:sz w:val="20"/>
                <w:szCs w:val="24"/>
              </w:rPr>
              <w:t xml:space="preserve"> </w:t>
            </w:r>
            <w:r w:rsidRPr="00094A37">
              <w:rPr>
                <w:rFonts w:ascii="Arial" w:hAnsi="Arial" w:cs="Arial"/>
                <w:sz w:val="20"/>
                <w:szCs w:val="24"/>
              </w:rPr>
              <w:t>deal and AB; the life of the city deal is ext</w:t>
            </w:r>
            <w:r w:rsidR="00094A37">
              <w:rPr>
                <w:rFonts w:ascii="Arial" w:hAnsi="Arial" w:cs="Arial"/>
                <w:sz w:val="20"/>
                <w:szCs w:val="24"/>
              </w:rPr>
              <w:t>endable through the heads of</w:t>
            </w:r>
            <w:r w:rsidRPr="00094A37">
              <w:rPr>
                <w:rFonts w:ascii="Arial" w:hAnsi="Arial" w:cs="Arial"/>
                <w:sz w:val="20"/>
                <w:szCs w:val="24"/>
              </w:rPr>
              <w:t xml:space="preserve"> terns to allow for the cash limited income from CIL / NHB / NNDR to be collected over an extended period of time. This will extend the life over which the</w:t>
            </w:r>
            <w:r w:rsidR="00094A37">
              <w:rPr>
                <w:rFonts w:ascii="Arial" w:hAnsi="Arial" w:cs="Arial"/>
                <w:sz w:val="20"/>
                <w:szCs w:val="24"/>
              </w:rPr>
              <w:t xml:space="preserve"> </w:t>
            </w:r>
            <w:r w:rsidRPr="00094A37">
              <w:rPr>
                <w:rFonts w:ascii="Arial" w:hAnsi="Arial" w:cs="Arial"/>
                <w:sz w:val="20"/>
                <w:szCs w:val="24"/>
              </w:rPr>
              <w:t>AB cash flows the CD programme but will be mitigated by ongoing monitoring and review and early warning of scheme delivery and slippage.</w:t>
            </w:r>
            <w:r w:rsidR="00094A37">
              <w:rPr>
                <w:rFonts w:ascii="Arial" w:hAnsi="Arial" w:cs="Arial"/>
                <w:sz w:val="20"/>
                <w:szCs w:val="24"/>
              </w:rPr>
              <w:t xml:space="preserve"> </w:t>
            </w:r>
            <w:r w:rsidRPr="00094A37">
              <w:rPr>
                <w:rFonts w:ascii="Arial" w:hAnsi="Arial" w:cs="Arial"/>
                <w:sz w:val="20"/>
                <w:szCs w:val="24"/>
              </w:rPr>
              <w:t xml:space="preserve">This early notification can also be used to influence through the partners the future expenditure to maintain the overall programme delivery.  </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A429C6">
              <w:rPr>
                <w:rFonts w:ascii="Arial" w:hAnsi="Arial" w:cs="Arial"/>
                <w:sz w:val="20"/>
                <w:szCs w:val="24"/>
                <w:highlight w:val="yellow"/>
              </w:rPr>
              <w:t>6</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LEP unable to align funding streams of others in support of key priorities e.g. ESIF (GD, Boost)</w:t>
            </w:r>
          </w:p>
        </w:tc>
        <w:tc>
          <w:tcPr>
            <w:tcW w:w="0" w:type="auto"/>
          </w:tcPr>
          <w:p w:rsidR="00CD1ADD" w:rsidRPr="00094A37" w:rsidRDefault="00CD1ADD" w:rsidP="00CD1ADD">
            <w:pPr>
              <w:rPr>
                <w:rFonts w:ascii="Arial" w:hAnsi="Arial" w:cs="Arial"/>
                <w:sz w:val="20"/>
                <w:szCs w:val="24"/>
              </w:rPr>
            </w:pPr>
            <w:r w:rsidRPr="00094A37">
              <w:rPr>
                <w:rFonts w:ascii="Arial" w:hAnsi="Arial" w:cs="Arial"/>
                <w:sz w:val="20"/>
                <w:szCs w:val="24"/>
              </w:rPr>
              <w:t>LEPs currently play an important role in influencing the funding streams of key local and national partners in support of key priorities identified in the SEP. However this is shaping not a controlling role. This is currently out of the LEPs control.</w:t>
            </w:r>
          </w:p>
        </w:tc>
      </w:tr>
      <w:tr w:rsidR="00CD1ADD" w:rsidTr="00A429C6">
        <w:tc>
          <w:tcPr>
            <w:tcW w:w="0" w:type="auto"/>
          </w:tcPr>
          <w:p w:rsidR="00CD1ADD" w:rsidRPr="00094A37" w:rsidRDefault="00CD1ADD" w:rsidP="00CD1ADD">
            <w:pPr>
              <w:rPr>
                <w:rFonts w:ascii="Arial" w:hAnsi="Arial" w:cs="Arial"/>
                <w:sz w:val="20"/>
                <w:szCs w:val="24"/>
              </w:rPr>
            </w:pPr>
            <w:r w:rsidRPr="00094A37">
              <w:rPr>
                <w:rFonts w:ascii="Arial" w:hAnsi="Arial" w:cs="Arial"/>
                <w:b/>
                <w:sz w:val="20"/>
                <w:szCs w:val="24"/>
              </w:rPr>
              <w:lastRenderedPageBreak/>
              <w:t>DELIVERY</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7</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PS not commencing / completing projects (GD / GPF)</w:t>
            </w:r>
          </w:p>
        </w:tc>
        <w:tc>
          <w:tcPr>
            <w:tcW w:w="0" w:type="auto"/>
          </w:tcPr>
          <w:p w:rsidR="00CD1ADD" w:rsidRPr="00094A37" w:rsidRDefault="00CD1ADD" w:rsidP="00CD1ADD">
            <w:pPr>
              <w:rPr>
                <w:rFonts w:ascii="Arial" w:hAnsi="Arial" w:cs="Arial"/>
                <w:sz w:val="20"/>
                <w:szCs w:val="24"/>
              </w:rPr>
            </w:pPr>
            <w:r w:rsidRPr="00094A37">
              <w:rPr>
                <w:rFonts w:ascii="Arial" w:hAnsi="Arial" w:cs="Arial"/>
                <w:sz w:val="20"/>
                <w:szCs w:val="24"/>
              </w:rPr>
              <w:t>GD payments are made retrospectively, based on certified invoices. The PS needs to demonstrate on a quarterly (or monthly) basis that works are on schedule.</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8</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PS not delivering agreed scheme delivery milestones (GD/GPF)</w:t>
            </w:r>
          </w:p>
        </w:tc>
        <w:tc>
          <w:tcPr>
            <w:tcW w:w="0" w:type="auto"/>
          </w:tcPr>
          <w:p w:rsidR="00CD1ADD" w:rsidRPr="00094A37" w:rsidRDefault="00CD1ADD" w:rsidP="00CD1ADD">
            <w:pPr>
              <w:rPr>
                <w:rFonts w:ascii="Arial" w:hAnsi="Arial" w:cs="Arial"/>
                <w:sz w:val="20"/>
                <w:szCs w:val="24"/>
              </w:rPr>
            </w:pPr>
            <w:r w:rsidRPr="00094A37">
              <w:rPr>
                <w:rFonts w:ascii="Arial" w:hAnsi="Arial" w:cs="Arial"/>
                <w:sz w:val="20"/>
                <w:szCs w:val="24"/>
              </w:rPr>
              <w:t>The LGF agreements set the scheme delivery milestones and PS need to demonstrate, through the agreed reporting and monitoring arrangements delivery progress.</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A429C6">
              <w:rPr>
                <w:rFonts w:ascii="Arial" w:hAnsi="Arial" w:cs="Arial"/>
                <w:sz w:val="20"/>
                <w:szCs w:val="24"/>
                <w:highlight w:val="yellow"/>
              </w:rPr>
              <w:t>9</w:t>
            </w:r>
          </w:p>
        </w:tc>
        <w:tc>
          <w:tcPr>
            <w:tcW w:w="0" w:type="auto"/>
          </w:tcPr>
          <w:p w:rsidR="00CD1ADD" w:rsidRPr="00094A37" w:rsidRDefault="00CD1ADD" w:rsidP="00CD1ADD">
            <w:pPr>
              <w:rPr>
                <w:rFonts w:ascii="Arial" w:hAnsi="Arial" w:cs="Arial"/>
                <w:sz w:val="20"/>
                <w:szCs w:val="24"/>
              </w:rPr>
            </w:pPr>
            <w:r w:rsidRPr="00094A37">
              <w:rPr>
                <w:rFonts w:ascii="Arial" w:hAnsi="Arial" w:cs="Arial"/>
                <w:sz w:val="20"/>
                <w:szCs w:val="24"/>
              </w:rPr>
              <w:t>GD/CD/EZ programmes fail to deliver jobs business and housing growth on scale originally agreed/forecast, for example, as a result of market failure, agreed interventions being fully delivered but not having the anticipated outcome.</w:t>
            </w:r>
          </w:p>
        </w:tc>
        <w:tc>
          <w:tcPr>
            <w:tcW w:w="0" w:type="auto"/>
          </w:tcPr>
          <w:p w:rsidR="00CD1ADD" w:rsidRPr="00094A37" w:rsidRDefault="00094A37" w:rsidP="00CD1ADD">
            <w:pPr>
              <w:rPr>
                <w:rFonts w:ascii="Arial" w:hAnsi="Arial" w:cs="Arial"/>
                <w:sz w:val="20"/>
                <w:szCs w:val="24"/>
              </w:rPr>
            </w:pPr>
            <w:r>
              <w:rPr>
                <w:rFonts w:ascii="Arial" w:hAnsi="Arial" w:cs="Arial"/>
                <w:sz w:val="20"/>
                <w:szCs w:val="24"/>
              </w:rPr>
              <w:t>T</w:t>
            </w:r>
            <w:r w:rsidR="00CD1ADD" w:rsidRPr="00094A37">
              <w:rPr>
                <w:rFonts w:ascii="Arial" w:hAnsi="Arial" w:cs="Arial"/>
                <w:sz w:val="20"/>
                <w:szCs w:val="24"/>
              </w:rPr>
              <w:t>he LEP has committed significant resources to retain expert consultants to   assist with the ongoing monitoring and reporting on the Growth Deal. A Monitoring and Evaluation Working Group, reporting to the GDMB, has been established with the objective of making sure that under performance is spotted and addressed. However, general market failure is outwith of the LEP's control, and some pioneering policy interventions may remain unproven</w:t>
            </w:r>
            <w:r w:rsidR="005E4B5B">
              <w:rPr>
                <w:rFonts w:ascii="Arial" w:hAnsi="Arial" w:cs="Arial"/>
                <w:sz w:val="20"/>
                <w:szCs w:val="24"/>
              </w:rPr>
              <w:t>.</w:t>
            </w:r>
          </w:p>
        </w:tc>
      </w:tr>
      <w:tr w:rsidR="00CD1ADD" w:rsidTr="00A429C6">
        <w:tc>
          <w:tcPr>
            <w:tcW w:w="0" w:type="auto"/>
          </w:tcPr>
          <w:p w:rsidR="00CD1ADD" w:rsidRPr="00094A37" w:rsidRDefault="00CD1ADD" w:rsidP="002005C5">
            <w:pPr>
              <w:rPr>
                <w:rFonts w:ascii="Arial" w:hAnsi="Arial" w:cs="Arial"/>
                <w:b/>
                <w:sz w:val="20"/>
                <w:szCs w:val="24"/>
              </w:rPr>
            </w:pPr>
            <w:r w:rsidRPr="00094A37">
              <w:rPr>
                <w:rFonts w:ascii="Arial" w:hAnsi="Arial" w:cs="Arial"/>
                <w:b/>
                <w:sz w:val="20"/>
                <w:szCs w:val="24"/>
              </w:rPr>
              <w:t>LEGAL</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10</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PS in breach of legally binding  GD/GPF funding agreements</w:t>
            </w:r>
          </w:p>
        </w:tc>
        <w:tc>
          <w:tcPr>
            <w:tcW w:w="0" w:type="auto"/>
          </w:tcPr>
          <w:p w:rsidR="00CD1ADD" w:rsidRPr="00094A37" w:rsidRDefault="00CD1ADD" w:rsidP="00A429C6">
            <w:pPr>
              <w:rPr>
                <w:rFonts w:ascii="Arial" w:hAnsi="Arial" w:cs="Arial"/>
                <w:sz w:val="20"/>
                <w:szCs w:val="24"/>
              </w:rPr>
            </w:pPr>
            <w:r w:rsidRPr="00094A37">
              <w:rPr>
                <w:rFonts w:ascii="Arial" w:hAnsi="Arial" w:cs="Arial"/>
                <w:sz w:val="20"/>
                <w:szCs w:val="24"/>
              </w:rPr>
              <w:t xml:space="preserve">The AB will </w:t>
            </w:r>
            <w:proofErr w:type="spellStart"/>
            <w:r w:rsidRPr="00094A37">
              <w:rPr>
                <w:rFonts w:ascii="Arial" w:hAnsi="Arial" w:cs="Arial"/>
                <w:sz w:val="20"/>
                <w:szCs w:val="24"/>
              </w:rPr>
              <w:t>clawback</w:t>
            </w:r>
            <w:proofErr w:type="spellEnd"/>
            <w:r w:rsidRPr="00094A37">
              <w:rPr>
                <w:rFonts w:ascii="Arial" w:hAnsi="Arial" w:cs="Arial"/>
                <w:sz w:val="20"/>
                <w:szCs w:val="24"/>
              </w:rPr>
              <w:t xml:space="preserve"> resources in the e</w:t>
            </w:r>
            <w:r w:rsidR="00A429C6">
              <w:rPr>
                <w:rFonts w:ascii="Arial" w:hAnsi="Arial" w:cs="Arial"/>
                <w:sz w:val="20"/>
                <w:szCs w:val="24"/>
              </w:rPr>
              <w:t xml:space="preserve">vent of </w:t>
            </w:r>
            <w:proofErr w:type="spellStart"/>
            <w:r w:rsidR="00A429C6">
              <w:rPr>
                <w:rFonts w:ascii="Arial" w:hAnsi="Arial" w:cs="Arial"/>
                <w:sz w:val="20"/>
                <w:szCs w:val="24"/>
              </w:rPr>
              <w:t>mis</w:t>
            </w:r>
            <w:proofErr w:type="spellEnd"/>
            <w:r w:rsidR="00A429C6">
              <w:rPr>
                <w:rFonts w:ascii="Arial" w:hAnsi="Arial" w:cs="Arial"/>
                <w:sz w:val="20"/>
                <w:szCs w:val="24"/>
              </w:rPr>
              <w:t>-management or non-</w:t>
            </w:r>
            <w:r w:rsidRPr="00094A37">
              <w:rPr>
                <w:rFonts w:ascii="Arial" w:hAnsi="Arial" w:cs="Arial"/>
                <w:sz w:val="20"/>
                <w:szCs w:val="24"/>
              </w:rPr>
              <w:t>delivery.</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11</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AB non-compliance with national legislation (e.g. state</w:t>
            </w:r>
            <w:r w:rsidR="00094A37">
              <w:rPr>
                <w:rFonts w:ascii="Arial" w:hAnsi="Arial" w:cs="Arial"/>
                <w:sz w:val="20"/>
                <w:szCs w:val="24"/>
              </w:rPr>
              <w:t xml:space="preserve"> aid regulations, Social </w:t>
            </w:r>
            <w:r w:rsidRPr="00094A37">
              <w:rPr>
                <w:rFonts w:ascii="Arial" w:hAnsi="Arial" w:cs="Arial"/>
                <w:sz w:val="20"/>
                <w:szCs w:val="24"/>
              </w:rPr>
              <w:t>Value Act, bribery, corruption and money laundering legislation</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 xml:space="preserve">Risk is mitigated by GPF agreement obliging PS </w:t>
            </w:r>
            <w:r w:rsidR="00094A37">
              <w:rPr>
                <w:rFonts w:ascii="Arial" w:hAnsi="Arial" w:cs="Arial"/>
                <w:sz w:val="20"/>
                <w:szCs w:val="24"/>
              </w:rPr>
              <w:t>to comply with all applicable</w:t>
            </w:r>
            <w:r w:rsidRPr="00094A37">
              <w:rPr>
                <w:rFonts w:ascii="Arial" w:hAnsi="Arial" w:cs="Arial"/>
                <w:sz w:val="20"/>
                <w:szCs w:val="24"/>
              </w:rPr>
              <w:t xml:space="preserve"> laws (below)  </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12</w:t>
            </w:r>
          </w:p>
        </w:tc>
        <w:tc>
          <w:tcPr>
            <w:tcW w:w="0" w:type="auto"/>
          </w:tcPr>
          <w:p w:rsidR="00CD1ADD" w:rsidRPr="00094A37" w:rsidRDefault="00CD1ADD" w:rsidP="00094A37">
            <w:pPr>
              <w:rPr>
                <w:rFonts w:ascii="Arial" w:hAnsi="Arial" w:cs="Arial"/>
                <w:sz w:val="20"/>
                <w:szCs w:val="24"/>
              </w:rPr>
            </w:pPr>
            <w:r w:rsidRPr="00094A37">
              <w:rPr>
                <w:rFonts w:ascii="Arial" w:hAnsi="Arial" w:cs="Arial"/>
                <w:sz w:val="20"/>
                <w:szCs w:val="24"/>
              </w:rPr>
              <w:t>PS non-compliance with national legislation (e.g. state aid regulations, Social Value Act, bribery, corruption and money laundering legislation</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 xml:space="preserve">The GPF agreement obliges PS to comply with all Applicable Laws. Failure to do so will entitle the AB the to terminate the </w:t>
            </w:r>
            <w:r w:rsidR="00094A37">
              <w:rPr>
                <w:rFonts w:ascii="Arial" w:hAnsi="Arial" w:cs="Arial"/>
                <w:sz w:val="20"/>
                <w:szCs w:val="24"/>
              </w:rPr>
              <w:t xml:space="preserve">GPF Agreement and </w:t>
            </w:r>
            <w:proofErr w:type="spellStart"/>
            <w:r w:rsidR="00094A37">
              <w:rPr>
                <w:rFonts w:ascii="Arial" w:hAnsi="Arial" w:cs="Arial"/>
                <w:sz w:val="20"/>
                <w:szCs w:val="24"/>
              </w:rPr>
              <w:t>Clawback</w:t>
            </w:r>
            <w:proofErr w:type="spellEnd"/>
            <w:r w:rsidR="00094A37">
              <w:rPr>
                <w:rFonts w:ascii="Arial" w:hAnsi="Arial" w:cs="Arial"/>
                <w:sz w:val="20"/>
                <w:szCs w:val="24"/>
              </w:rPr>
              <w:t xml:space="preserve"> </w:t>
            </w:r>
            <w:r w:rsidRPr="00094A37">
              <w:rPr>
                <w:rFonts w:ascii="Arial" w:hAnsi="Arial" w:cs="Arial"/>
                <w:sz w:val="20"/>
                <w:szCs w:val="24"/>
              </w:rPr>
              <w:t>grant payment already made</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13</w:t>
            </w:r>
          </w:p>
        </w:tc>
        <w:tc>
          <w:tcPr>
            <w:tcW w:w="0" w:type="auto"/>
          </w:tcPr>
          <w:p w:rsidR="00CD1ADD" w:rsidRPr="00094A37" w:rsidRDefault="00CD1ADD" w:rsidP="00CD1ADD">
            <w:pPr>
              <w:rPr>
                <w:rFonts w:ascii="Arial" w:hAnsi="Arial" w:cs="Arial"/>
                <w:sz w:val="20"/>
                <w:szCs w:val="24"/>
              </w:rPr>
            </w:pPr>
            <w:r w:rsidRPr="00094A37">
              <w:rPr>
                <w:rFonts w:ascii="Arial" w:hAnsi="Arial" w:cs="Arial"/>
                <w:sz w:val="20"/>
                <w:szCs w:val="24"/>
              </w:rPr>
              <w:t>Information security breaches data protection general data and systems resilience</w:t>
            </w:r>
          </w:p>
        </w:tc>
        <w:tc>
          <w:tcPr>
            <w:tcW w:w="0" w:type="auto"/>
          </w:tcPr>
          <w:p w:rsidR="00CD1ADD" w:rsidRPr="00094A37" w:rsidRDefault="00CD1ADD" w:rsidP="00094A37">
            <w:pPr>
              <w:rPr>
                <w:rFonts w:ascii="Arial" w:hAnsi="Arial" w:cs="Arial"/>
                <w:sz w:val="20"/>
                <w:szCs w:val="24"/>
              </w:rPr>
            </w:pPr>
            <w:r w:rsidRPr="00094A37">
              <w:rPr>
                <w:rFonts w:ascii="Arial" w:hAnsi="Arial" w:cs="Arial"/>
                <w:sz w:val="20"/>
                <w:szCs w:val="24"/>
              </w:rPr>
              <w:t>The GPF agreement obliges PS to comply with all Applicable Laws and in</w:t>
            </w:r>
            <w:r w:rsidR="00094A37">
              <w:rPr>
                <w:rFonts w:ascii="Arial" w:hAnsi="Arial" w:cs="Arial"/>
                <w:sz w:val="20"/>
                <w:szCs w:val="24"/>
              </w:rPr>
              <w:t xml:space="preserve"> </w:t>
            </w:r>
            <w:r w:rsidRPr="00094A37">
              <w:rPr>
                <w:rFonts w:ascii="Arial" w:hAnsi="Arial" w:cs="Arial"/>
                <w:sz w:val="20"/>
                <w:szCs w:val="24"/>
              </w:rPr>
              <w:t>particular those relating to Data Protection. Failure to do so will entitle the AB to be indemnified and if the breach is</w:t>
            </w:r>
            <w:r w:rsidR="00094A37">
              <w:rPr>
                <w:rFonts w:ascii="Arial" w:hAnsi="Arial" w:cs="Arial"/>
                <w:sz w:val="20"/>
                <w:szCs w:val="24"/>
              </w:rPr>
              <w:t xml:space="preserve"> material to terminate the GPF </w:t>
            </w:r>
            <w:r w:rsidRPr="00094A37">
              <w:rPr>
                <w:rFonts w:ascii="Arial" w:hAnsi="Arial" w:cs="Arial"/>
                <w:sz w:val="20"/>
                <w:szCs w:val="24"/>
              </w:rPr>
              <w:t xml:space="preserve">Agreement and </w:t>
            </w:r>
            <w:proofErr w:type="spellStart"/>
            <w:r w:rsidR="00094A37" w:rsidRPr="00094A37">
              <w:rPr>
                <w:rFonts w:ascii="Arial" w:hAnsi="Arial" w:cs="Arial"/>
                <w:sz w:val="20"/>
                <w:szCs w:val="24"/>
              </w:rPr>
              <w:t>clawback</w:t>
            </w:r>
            <w:proofErr w:type="spellEnd"/>
            <w:r w:rsidR="00094A37" w:rsidRPr="00094A37">
              <w:rPr>
                <w:rFonts w:ascii="Arial" w:hAnsi="Arial" w:cs="Arial"/>
                <w:sz w:val="20"/>
                <w:szCs w:val="24"/>
              </w:rPr>
              <w:t xml:space="preserve"> grant</w:t>
            </w:r>
            <w:r w:rsidRPr="00094A37">
              <w:rPr>
                <w:rFonts w:ascii="Arial" w:hAnsi="Arial" w:cs="Arial"/>
                <w:sz w:val="20"/>
                <w:szCs w:val="24"/>
              </w:rPr>
              <w:t xml:space="preserve"> payment already made</w:t>
            </w:r>
            <w:r w:rsidR="00094A37">
              <w:rPr>
                <w:rFonts w:ascii="Arial" w:hAnsi="Arial" w:cs="Arial"/>
                <w:sz w:val="20"/>
                <w:szCs w:val="24"/>
              </w:rPr>
              <w:t>.</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14</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 xml:space="preserve">H+S - any "client" responsibilities under new CDM </w:t>
            </w:r>
            <w:proofErr w:type="spellStart"/>
            <w:r w:rsidRPr="00094A37">
              <w:rPr>
                <w:rFonts w:ascii="Arial" w:hAnsi="Arial" w:cs="Arial"/>
                <w:sz w:val="20"/>
                <w:szCs w:val="24"/>
              </w:rPr>
              <w:t>Regs</w:t>
            </w:r>
            <w:proofErr w:type="spellEnd"/>
            <w:r w:rsidRPr="00094A37">
              <w:rPr>
                <w:rFonts w:ascii="Arial" w:hAnsi="Arial" w:cs="Arial"/>
                <w:sz w:val="20"/>
                <w:szCs w:val="24"/>
              </w:rPr>
              <w:t xml:space="preserve"> acquired by the LEP as a result of funding a development</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The GPF agreement obliges PS to comply with al</w:t>
            </w:r>
            <w:r w:rsidR="00094A37">
              <w:rPr>
                <w:rFonts w:ascii="Arial" w:hAnsi="Arial" w:cs="Arial"/>
                <w:sz w:val="20"/>
                <w:szCs w:val="24"/>
              </w:rPr>
              <w:t xml:space="preserve">l Applicable Laws. Failure to </w:t>
            </w:r>
            <w:r w:rsidRPr="00094A37">
              <w:rPr>
                <w:rFonts w:ascii="Arial" w:hAnsi="Arial" w:cs="Arial"/>
                <w:sz w:val="20"/>
                <w:szCs w:val="24"/>
              </w:rPr>
              <w:t>do so will entitle the AB the to terminate the</w:t>
            </w:r>
            <w:r w:rsidR="00094A37">
              <w:rPr>
                <w:rFonts w:ascii="Arial" w:hAnsi="Arial" w:cs="Arial"/>
                <w:sz w:val="20"/>
                <w:szCs w:val="24"/>
              </w:rPr>
              <w:t xml:space="preserve"> GPF Agreement and </w:t>
            </w:r>
            <w:proofErr w:type="spellStart"/>
            <w:r w:rsidR="00094A37">
              <w:rPr>
                <w:rFonts w:ascii="Arial" w:hAnsi="Arial" w:cs="Arial"/>
                <w:sz w:val="20"/>
                <w:szCs w:val="24"/>
              </w:rPr>
              <w:t>clawback</w:t>
            </w:r>
            <w:proofErr w:type="spellEnd"/>
            <w:r w:rsidRPr="00094A37">
              <w:rPr>
                <w:rFonts w:ascii="Arial" w:hAnsi="Arial" w:cs="Arial"/>
                <w:sz w:val="20"/>
                <w:szCs w:val="24"/>
              </w:rPr>
              <w:t xml:space="preserve"> grant payment already made</w:t>
            </w:r>
          </w:p>
        </w:tc>
      </w:tr>
      <w:tr w:rsidR="00CD1ADD" w:rsidTr="00A429C6">
        <w:tc>
          <w:tcPr>
            <w:tcW w:w="0" w:type="auto"/>
          </w:tcPr>
          <w:p w:rsidR="00CD1ADD" w:rsidRPr="00094A37" w:rsidRDefault="00CD1ADD" w:rsidP="002005C5">
            <w:pPr>
              <w:rPr>
                <w:rFonts w:ascii="Arial" w:hAnsi="Arial" w:cs="Arial"/>
                <w:b/>
                <w:sz w:val="20"/>
                <w:szCs w:val="24"/>
              </w:rPr>
            </w:pPr>
            <w:r w:rsidRPr="00094A37">
              <w:rPr>
                <w:rFonts w:ascii="Arial" w:hAnsi="Arial" w:cs="Arial"/>
                <w:b/>
                <w:sz w:val="20"/>
                <w:szCs w:val="24"/>
              </w:rPr>
              <w:t>RESOURCE</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15</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AB is unable to commit the necessary staffing and financial  resource to manage and develop LEP responsibilities/programme</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The AB will continue to review the implications of the LE</w:t>
            </w:r>
            <w:r w:rsidR="00094A37">
              <w:rPr>
                <w:rFonts w:ascii="Arial" w:hAnsi="Arial" w:cs="Arial"/>
                <w:sz w:val="20"/>
                <w:szCs w:val="24"/>
              </w:rPr>
              <w:t>P's role in directing</w:t>
            </w:r>
            <w:r w:rsidRPr="00094A37">
              <w:rPr>
                <w:rFonts w:ascii="Arial" w:hAnsi="Arial" w:cs="Arial"/>
                <w:sz w:val="20"/>
                <w:szCs w:val="24"/>
              </w:rPr>
              <w:t xml:space="preserve"> its expanding areas of responsibility  </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16</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PS do not commit the necessary resource to  deliver their project</w:t>
            </w:r>
          </w:p>
        </w:tc>
        <w:tc>
          <w:tcPr>
            <w:tcW w:w="0" w:type="auto"/>
          </w:tcPr>
          <w:p w:rsidR="00CD1ADD" w:rsidRPr="00094A37" w:rsidRDefault="00094A37" w:rsidP="002005C5">
            <w:pPr>
              <w:rPr>
                <w:rFonts w:ascii="Arial" w:hAnsi="Arial" w:cs="Arial"/>
                <w:sz w:val="20"/>
                <w:szCs w:val="24"/>
              </w:rPr>
            </w:pPr>
            <w:r w:rsidRPr="00094A37">
              <w:rPr>
                <w:rFonts w:ascii="Arial" w:hAnsi="Arial" w:cs="Arial"/>
                <w:sz w:val="20"/>
                <w:szCs w:val="24"/>
              </w:rPr>
              <w:t>PSs need to demonstrate at the business case stage (green book, 5 case          process) and independent assessment stage that it has the funds and capacity to deliver the agreed project and outcomes.</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17</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Challenge to the way the LEP /  AB procures its services</w:t>
            </w:r>
          </w:p>
        </w:tc>
        <w:tc>
          <w:tcPr>
            <w:tcW w:w="0" w:type="auto"/>
          </w:tcPr>
          <w:p w:rsidR="00CD1ADD" w:rsidRPr="00094A37" w:rsidRDefault="00094A37" w:rsidP="002005C5">
            <w:pPr>
              <w:rPr>
                <w:rFonts w:ascii="Arial" w:hAnsi="Arial" w:cs="Arial"/>
                <w:sz w:val="20"/>
                <w:szCs w:val="24"/>
              </w:rPr>
            </w:pPr>
            <w:r w:rsidRPr="00094A37">
              <w:rPr>
                <w:rFonts w:ascii="Arial" w:hAnsi="Arial" w:cs="Arial"/>
                <w:sz w:val="20"/>
                <w:szCs w:val="24"/>
              </w:rPr>
              <w:t>Risk is mitigated by GPF agreement obliging PS t</w:t>
            </w:r>
            <w:r>
              <w:rPr>
                <w:rFonts w:ascii="Arial" w:hAnsi="Arial" w:cs="Arial"/>
                <w:sz w:val="20"/>
                <w:szCs w:val="24"/>
              </w:rPr>
              <w:t xml:space="preserve">o comply with all applicable </w:t>
            </w:r>
            <w:r w:rsidRPr="00094A37">
              <w:rPr>
                <w:rFonts w:ascii="Arial" w:hAnsi="Arial" w:cs="Arial"/>
                <w:sz w:val="20"/>
                <w:szCs w:val="24"/>
              </w:rPr>
              <w:t xml:space="preserve">laws (below)  </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18</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Challenge to the way that project sponsors procure their services  (GD)</w:t>
            </w:r>
          </w:p>
        </w:tc>
        <w:tc>
          <w:tcPr>
            <w:tcW w:w="0" w:type="auto"/>
          </w:tcPr>
          <w:p w:rsidR="00CD1ADD" w:rsidRPr="00094A37" w:rsidRDefault="00094A37" w:rsidP="00094A37">
            <w:pPr>
              <w:rPr>
                <w:rFonts w:ascii="Arial" w:hAnsi="Arial" w:cs="Arial"/>
                <w:sz w:val="20"/>
                <w:szCs w:val="24"/>
              </w:rPr>
            </w:pPr>
            <w:r w:rsidRPr="00094A37">
              <w:rPr>
                <w:rFonts w:ascii="Arial" w:hAnsi="Arial" w:cs="Arial"/>
                <w:sz w:val="20"/>
                <w:szCs w:val="24"/>
              </w:rPr>
              <w:t>The GPF agreement obliges PS to comply with all Applicable Laws. Failure to</w:t>
            </w:r>
            <w:r>
              <w:rPr>
                <w:rFonts w:ascii="Arial" w:hAnsi="Arial" w:cs="Arial"/>
                <w:sz w:val="20"/>
                <w:szCs w:val="24"/>
              </w:rPr>
              <w:t xml:space="preserve"> </w:t>
            </w:r>
            <w:r w:rsidRPr="00094A37">
              <w:rPr>
                <w:rFonts w:ascii="Arial" w:hAnsi="Arial" w:cs="Arial"/>
                <w:sz w:val="20"/>
                <w:szCs w:val="24"/>
              </w:rPr>
              <w:t>do so will entitle the AB the to terminate t</w:t>
            </w:r>
            <w:r>
              <w:rPr>
                <w:rFonts w:ascii="Arial" w:hAnsi="Arial" w:cs="Arial"/>
                <w:sz w:val="20"/>
                <w:szCs w:val="24"/>
              </w:rPr>
              <w:t xml:space="preserve">he GPF Agreement and </w:t>
            </w:r>
            <w:proofErr w:type="spellStart"/>
            <w:r>
              <w:rPr>
                <w:rFonts w:ascii="Arial" w:hAnsi="Arial" w:cs="Arial"/>
                <w:sz w:val="20"/>
                <w:szCs w:val="24"/>
              </w:rPr>
              <w:t>clawback</w:t>
            </w:r>
            <w:proofErr w:type="spellEnd"/>
            <w:r>
              <w:rPr>
                <w:rFonts w:ascii="Arial" w:hAnsi="Arial" w:cs="Arial"/>
                <w:sz w:val="20"/>
                <w:szCs w:val="24"/>
              </w:rPr>
              <w:t xml:space="preserve">  </w:t>
            </w:r>
            <w:r w:rsidRPr="00094A37">
              <w:rPr>
                <w:rFonts w:ascii="Arial" w:hAnsi="Arial" w:cs="Arial"/>
                <w:sz w:val="20"/>
                <w:szCs w:val="24"/>
              </w:rPr>
              <w:t>grant payment already made</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094A37">
            <w:pPr>
              <w:rPr>
                <w:rFonts w:ascii="Arial" w:hAnsi="Arial" w:cs="Arial"/>
                <w:sz w:val="20"/>
                <w:szCs w:val="24"/>
              </w:rPr>
            </w:pPr>
            <w:r w:rsidRPr="00A429C6">
              <w:rPr>
                <w:rFonts w:ascii="Arial" w:hAnsi="Arial" w:cs="Arial"/>
                <w:sz w:val="20"/>
                <w:szCs w:val="24"/>
                <w:highlight w:val="yellow"/>
              </w:rPr>
              <w:t>19</w:t>
            </w:r>
          </w:p>
        </w:tc>
        <w:tc>
          <w:tcPr>
            <w:tcW w:w="0" w:type="auto"/>
          </w:tcPr>
          <w:p w:rsidR="00CD1ADD" w:rsidRPr="00094A37" w:rsidRDefault="00CD1ADD" w:rsidP="00094A37">
            <w:pPr>
              <w:rPr>
                <w:rFonts w:ascii="Arial" w:hAnsi="Arial" w:cs="Arial"/>
                <w:sz w:val="20"/>
                <w:szCs w:val="24"/>
              </w:rPr>
            </w:pPr>
            <w:r w:rsidRPr="00094A37">
              <w:rPr>
                <w:rFonts w:ascii="Arial" w:hAnsi="Arial" w:cs="Arial"/>
                <w:sz w:val="20"/>
                <w:szCs w:val="24"/>
              </w:rPr>
              <w:t>Other funding partners procurement timescales impacts on project delivery (this can be merged with risk 6)</w:t>
            </w:r>
          </w:p>
        </w:tc>
        <w:tc>
          <w:tcPr>
            <w:tcW w:w="0" w:type="auto"/>
          </w:tcPr>
          <w:p w:rsidR="00CD1ADD" w:rsidRPr="00094A37" w:rsidRDefault="00094A37" w:rsidP="002005C5">
            <w:pPr>
              <w:rPr>
                <w:rFonts w:ascii="Arial" w:hAnsi="Arial" w:cs="Arial"/>
                <w:sz w:val="20"/>
                <w:szCs w:val="24"/>
              </w:rPr>
            </w:pPr>
            <w:r w:rsidRPr="00094A37">
              <w:rPr>
                <w:rFonts w:ascii="Arial" w:hAnsi="Arial" w:cs="Arial"/>
                <w:sz w:val="20"/>
                <w:szCs w:val="24"/>
              </w:rPr>
              <w:t>The LEP can seek to influence but ultimately cannot determine the                   procurement timescales and process, of for example, European funding</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20</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PS and /or LEP fail to monitor projects (lack of resource or not prioritised)</w:t>
            </w:r>
          </w:p>
        </w:tc>
        <w:tc>
          <w:tcPr>
            <w:tcW w:w="0" w:type="auto"/>
          </w:tcPr>
          <w:p w:rsidR="00CD1ADD" w:rsidRPr="00094A37" w:rsidRDefault="00094A37" w:rsidP="00094A37">
            <w:pPr>
              <w:rPr>
                <w:rFonts w:ascii="Arial" w:hAnsi="Arial" w:cs="Arial"/>
                <w:sz w:val="20"/>
                <w:szCs w:val="24"/>
              </w:rPr>
            </w:pPr>
            <w:r w:rsidRPr="00094A37">
              <w:rPr>
                <w:rFonts w:ascii="Arial" w:hAnsi="Arial" w:cs="Arial"/>
                <w:sz w:val="20"/>
                <w:szCs w:val="24"/>
              </w:rPr>
              <w:t>The LEP has committed significant resources to retain expert consultants to   assist with the ongoing monitoring and r</w:t>
            </w:r>
            <w:r>
              <w:rPr>
                <w:rFonts w:ascii="Arial" w:hAnsi="Arial" w:cs="Arial"/>
                <w:sz w:val="20"/>
                <w:szCs w:val="24"/>
              </w:rPr>
              <w:t xml:space="preserve">eporting on the Growth Deal. A </w:t>
            </w:r>
            <w:r w:rsidRPr="00094A37">
              <w:rPr>
                <w:rFonts w:ascii="Arial" w:hAnsi="Arial" w:cs="Arial"/>
                <w:sz w:val="20"/>
                <w:szCs w:val="24"/>
              </w:rPr>
              <w:t>Monitoring and Evaluation Working Group, r</w:t>
            </w:r>
            <w:r>
              <w:rPr>
                <w:rFonts w:ascii="Arial" w:hAnsi="Arial" w:cs="Arial"/>
                <w:sz w:val="20"/>
                <w:szCs w:val="24"/>
              </w:rPr>
              <w:t xml:space="preserve">eporting to the GDMB, has been </w:t>
            </w:r>
            <w:r w:rsidRPr="00094A37">
              <w:rPr>
                <w:rFonts w:ascii="Arial" w:hAnsi="Arial" w:cs="Arial"/>
                <w:sz w:val="20"/>
                <w:szCs w:val="24"/>
              </w:rPr>
              <w:t>established. All PS have to commit to the monitoring requirements through</w:t>
            </w:r>
            <w:r>
              <w:rPr>
                <w:rFonts w:ascii="Arial" w:hAnsi="Arial" w:cs="Arial"/>
                <w:sz w:val="20"/>
                <w:szCs w:val="24"/>
              </w:rPr>
              <w:t xml:space="preserve"> </w:t>
            </w:r>
            <w:r w:rsidRPr="00094A37">
              <w:rPr>
                <w:rFonts w:ascii="Arial" w:hAnsi="Arial" w:cs="Arial"/>
                <w:sz w:val="20"/>
                <w:szCs w:val="24"/>
              </w:rPr>
              <w:t>the LGF Agreements.</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21</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Lack of clarity on agreed outputs and outcomes upon which HMG and other stakeholders will assess and monitor and the LEP's performance</w:t>
            </w:r>
          </w:p>
        </w:tc>
        <w:tc>
          <w:tcPr>
            <w:tcW w:w="0" w:type="auto"/>
          </w:tcPr>
          <w:p w:rsidR="00CD1ADD" w:rsidRPr="00094A37" w:rsidRDefault="00094A37" w:rsidP="00F117F9">
            <w:pPr>
              <w:rPr>
                <w:rFonts w:ascii="Arial" w:hAnsi="Arial" w:cs="Arial"/>
                <w:sz w:val="20"/>
                <w:szCs w:val="24"/>
              </w:rPr>
            </w:pPr>
            <w:r w:rsidRPr="00094A37">
              <w:rPr>
                <w:rFonts w:ascii="Arial" w:hAnsi="Arial" w:cs="Arial"/>
                <w:sz w:val="20"/>
                <w:szCs w:val="24"/>
              </w:rPr>
              <w:t>The AB is part of a pilot initiative with a small number of LEPs to work with</w:t>
            </w:r>
            <w:r>
              <w:rPr>
                <w:rFonts w:ascii="Arial" w:hAnsi="Arial" w:cs="Arial"/>
                <w:sz w:val="20"/>
                <w:szCs w:val="24"/>
              </w:rPr>
              <w:t xml:space="preserve"> </w:t>
            </w:r>
            <w:r w:rsidRPr="00094A37">
              <w:rPr>
                <w:rFonts w:ascii="Arial" w:hAnsi="Arial" w:cs="Arial"/>
                <w:sz w:val="20"/>
                <w:szCs w:val="24"/>
              </w:rPr>
              <w:t>HMG to develop the Information Management System which HMG will require all LEPs to use to provide quarterly monitoring information. Further work is ongoing with HMG to fully unders</w:t>
            </w:r>
            <w:r>
              <w:rPr>
                <w:rFonts w:ascii="Arial" w:hAnsi="Arial" w:cs="Arial"/>
                <w:sz w:val="20"/>
                <w:szCs w:val="24"/>
              </w:rPr>
              <w:t xml:space="preserve">tand the range of metrics upon </w:t>
            </w:r>
            <w:r w:rsidRPr="00094A37">
              <w:rPr>
                <w:rFonts w:ascii="Arial" w:hAnsi="Arial" w:cs="Arial"/>
                <w:sz w:val="20"/>
                <w:szCs w:val="24"/>
              </w:rPr>
              <w:t>which the LEP will be monitored</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A429C6">
              <w:rPr>
                <w:rFonts w:ascii="Arial" w:hAnsi="Arial" w:cs="Arial"/>
                <w:sz w:val="20"/>
                <w:szCs w:val="24"/>
                <w:highlight w:val="yellow"/>
              </w:rPr>
              <w:t>22</w:t>
            </w:r>
          </w:p>
        </w:tc>
        <w:tc>
          <w:tcPr>
            <w:tcW w:w="0" w:type="auto"/>
          </w:tcPr>
          <w:p w:rsidR="00CD1ADD" w:rsidRPr="00094A37" w:rsidRDefault="00CD1ADD" w:rsidP="00094A37">
            <w:pPr>
              <w:rPr>
                <w:rFonts w:ascii="Arial" w:hAnsi="Arial" w:cs="Arial"/>
                <w:sz w:val="20"/>
                <w:szCs w:val="24"/>
              </w:rPr>
            </w:pPr>
            <w:r w:rsidRPr="00094A37">
              <w:rPr>
                <w:rFonts w:ascii="Arial" w:hAnsi="Arial" w:cs="Arial"/>
                <w:sz w:val="20"/>
                <w:szCs w:val="24"/>
              </w:rPr>
              <w:t>LEP Monitoring and Evaluation  Framework fails to identify early under- performance Projects and programmes do not deliver anticipated outputs</w:t>
            </w:r>
          </w:p>
        </w:tc>
        <w:tc>
          <w:tcPr>
            <w:tcW w:w="0" w:type="auto"/>
          </w:tcPr>
          <w:p w:rsidR="00CD1ADD" w:rsidRPr="00094A37" w:rsidRDefault="00094A37" w:rsidP="00094A37">
            <w:pPr>
              <w:rPr>
                <w:rFonts w:ascii="Arial" w:hAnsi="Arial" w:cs="Arial"/>
                <w:sz w:val="20"/>
                <w:szCs w:val="24"/>
              </w:rPr>
            </w:pPr>
            <w:r w:rsidRPr="00094A37">
              <w:rPr>
                <w:rFonts w:ascii="Arial" w:hAnsi="Arial" w:cs="Arial"/>
                <w:sz w:val="20"/>
                <w:szCs w:val="24"/>
              </w:rPr>
              <w:t>The LEP has committed significant resources to</w:t>
            </w:r>
            <w:r>
              <w:rPr>
                <w:rFonts w:ascii="Arial" w:hAnsi="Arial" w:cs="Arial"/>
                <w:sz w:val="20"/>
                <w:szCs w:val="24"/>
              </w:rPr>
              <w:t xml:space="preserve"> retain expert consultants to </w:t>
            </w:r>
            <w:r w:rsidRPr="00094A37">
              <w:rPr>
                <w:rFonts w:ascii="Arial" w:hAnsi="Arial" w:cs="Arial"/>
                <w:sz w:val="20"/>
                <w:szCs w:val="24"/>
              </w:rPr>
              <w:t>assist with the ongoing monitoring and r</w:t>
            </w:r>
            <w:r>
              <w:rPr>
                <w:rFonts w:ascii="Arial" w:hAnsi="Arial" w:cs="Arial"/>
                <w:sz w:val="20"/>
                <w:szCs w:val="24"/>
              </w:rPr>
              <w:t xml:space="preserve">eporting on the Growth Deal. A </w:t>
            </w:r>
            <w:r w:rsidRPr="00094A37">
              <w:rPr>
                <w:rFonts w:ascii="Arial" w:hAnsi="Arial" w:cs="Arial"/>
                <w:sz w:val="20"/>
                <w:szCs w:val="24"/>
              </w:rPr>
              <w:t>Monitoring and Evaluation Working Group, reporting to the GDMB, has been established to provide assurance that under performance can be spotted and acted upon.</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23</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Erroneous or false project reporting by PS/AB</w:t>
            </w:r>
          </w:p>
        </w:tc>
        <w:tc>
          <w:tcPr>
            <w:tcW w:w="0" w:type="auto"/>
          </w:tcPr>
          <w:p w:rsidR="00CD1ADD" w:rsidRPr="00094A37" w:rsidRDefault="00094A37" w:rsidP="00094A37">
            <w:pPr>
              <w:rPr>
                <w:rFonts w:ascii="Arial" w:hAnsi="Arial" w:cs="Arial"/>
                <w:sz w:val="20"/>
                <w:szCs w:val="24"/>
              </w:rPr>
            </w:pPr>
            <w:r w:rsidRPr="00094A37">
              <w:rPr>
                <w:rFonts w:ascii="Arial" w:hAnsi="Arial" w:cs="Arial"/>
                <w:sz w:val="20"/>
                <w:szCs w:val="24"/>
              </w:rPr>
              <w:t>The GPF Agreement obliges PS to make periodic</w:t>
            </w:r>
            <w:r>
              <w:rPr>
                <w:rFonts w:ascii="Arial" w:hAnsi="Arial" w:cs="Arial"/>
                <w:sz w:val="20"/>
                <w:szCs w:val="24"/>
              </w:rPr>
              <w:t xml:space="preserve"> returns of information and </w:t>
            </w:r>
            <w:r w:rsidRPr="00094A37">
              <w:rPr>
                <w:rFonts w:ascii="Arial" w:hAnsi="Arial" w:cs="Arial"/>
                <w:sz w:val="20"/>
                <w:szCs w:val="24"/>
              </w:rPr>
              <w:t>affords audit rights to the AB with the ability to inspect and view documents   and people at any time. The PS is also obli</w:t>
            </w:r>
            <w:r>
              <w:rPr>
                <w:rFonts w:ascii="Arial" w:hAnsi="Arial" w:cs="Arial"/>
                <w:sz w:val="20"/>
                <w:szCs w:val="24"/>
              </w:rPr>
              <w:t xml:space="preserve">ged to engage with the </w:t>
            </w:r>
            <w:r w:rsidR="00A429C6">
              <w:rPr>
                <w:rFonts w:ascii="Arial" w:hAnsi="Arial" w:cs="Arial"/>
                <w:sz w:val="20"/>
                <w:szCs w:val="24"/>
              </w:rPr>
              <w:t xml:space="preserve">broader </w:t>
            </w:r>
            <w:r w:rsidR="00A429C6" w:rsidRPr="00094A37">
              <w:rPr>
                <w:rFonts w:ascii="Arial" w:hAnsi="Arial" w:cs="Arial"/>
                <w:sz w:val="20"/>
                <w:szCs w:val="24"/>
              </w:rPr>
              <w:t>Assurance</w:t>
            </w:r>
            <w:r w:rsidRPr="00094A37">
              <w:rPr>
                <w:rFonts w:ascii="Arial" w:hAnsi="Arial" w:cs="Arial"/>
                <w:sz w:val="20"/>
                <w:szCs w:val="24"/>
              </w:rPr>
              <w:t xml:space="preserve"> </w:t>
            </w:r>
            <w:r w:rsidR="00A429C6" w:rsidRPr="00094A37">
              <w:rPr>
                <w:rFonts w:ascii="Arial" w:hAnsi="Arial" w:cs="Arial"/>
                <w:sz w:val="20"/>
                <w:szCs w:val="24"/>
              </w:rPr>
              <w:t xml:space="preserve">Framework. </w:t>
            </w:r>
            <w:r w:rsidRPr="00094A37">
              <w:rPr>
                <w:rFonts w:ascii="Arial" w:hAnsi="Arial" w:cs="Arial"/>
                <w:sz w:val="20"/>
                <w:szCs w:val="24"/>
              </w:rPr>
              <w:t>PS must act with reasonable care and skill in providing information. Material failures to do so will enti</w:t>
            </w:r>
            <w:r>
              <w:rPr>
                <w:rFonts w:ascii="Arial" w:hAnsi="Arial" w:cs="Arial"/>
                <w:sz w:val="20"/>
                <w:szCs w:val="24"/>
              </w:rPr>
              <w:t xml:space="preserve">tle the AB to terminate the </w:t>
            </w:r>
            <w:r w:rsidRPr="00094A37">
              <w:rPr>
                <w:rFonts w:ascii="Arial" w:hAnsi="Arial" w:cs="Arial"/>
                <w:sz w:val="20"/>
                <w:szCs w:val="24"/>
              </w:rPr>
              <w:t xml:space="preserve">GPF and </w:t>
            </w:r>
            <w:proofErr w:type="spellStart"/>
            <w:r w:rsidRPr="00094A37">
              <w:rPr>
                <w:rFonts w:ascii="Arial" w:hAnsi="Arial" w:cs="Arial"/>
                <w:sz w:val="20"/>
                <w:szCs w:val="24"/>
              </w:rPr>
              <w:t>clawback</w:t>
            </w:r>
            <w:proofErr w:type="spellEnd"/>
            <w:r w:rsidRPr="00094A37">
              <w:rPr>
                <w:rFonts w:ascii="Arial" w:hAnsi="Arial" w:cs="Arial"/>
                <w:sz w:val="20"/>
                <w:szCs w:val="24"/>
              </w:rPr>
              <w:t xml:space="preserve"> grant already made</w:t>
            </w:r>
          </w:p>
        </w:tc>
      </w:tr>
      <w:tr w:rsidR="00CD1ADD" w:rsidTr="00A429C6">
        <w:tc>
          <w:tcPr>
            <w:tcW w:w="0" w:type="auto"/>
          </w:tcPr>
          <w:p w:rsidR="00CD1ADD" w:rsidRPr="00094A37" w:rsidRDefault="00094A37" w:rsidP="002005C5">
            <w:pPr>
              <w:rPr>
                <w:rFonts w:ascii="Arial" w:hAnsi="Arial" w:cs="Arial"/>
                <w:b/>
                <w:sz w:val="20"/>
                <w:szCs w:val="24"/>
              </w:rPr>
            </w:pPr>
            <w:r w:rsidRPr="00094A37">
              <w:rPr>
                <w:rFonts w:ascii="Arial" w:hAnsi="Arial" w:cs="Arial"/>
                <w:b/>
                <w:sz w:val="20"/>
                <w:szCs w:val="24"/>
              </w:rPr>
              <w:t>CONFLICT</w:t>
            </w: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24</w:t>
            </w:r>
          </w:p>
        </w:tc>
        <w:tc>
          <w:tcPr>
            <w:tcW w:w="0" w:type="auto"/>
          </w:tcPr>
          <w:p w:rsidR="00CD1ADD" w:rsidRPr="00094A37" w:rsidRDefault="00094A37" w:rsidP="002005C5">
            <w:pPr>
              <w:rPr>
                <w:rFonts w:ascii="Arial" w:hAnsi="Arial" w:cs="Arial"/>
                <w:sz w:val="20"/>
                <w:szCs w:val="24"/>
              </w:rPr>
            </w:pPr>
            <w:r w:rsidRPr="00094A37">
              <w:rPr>
                <w:rFonts w:ascii="Arial" w:hAnsi="Arial" w:cs="Arial"/>
                <w:sz w:val="20"/>
                <w:szCs w:val="24"/>
              </w:rPr>
              <w:t>AB will not implement the decisions of the LEP</w:t>
            </w:r>
          </w:p>
        </w:tc>
        <w:tc>
          <w:tcPr>
            <w:tcW w:w="0" w:type="auto"/>
          </w:tcPr>
          <w:p w:rsidR="00CD1ADD" w:rsidRPr="00094A37" w:rsidRDefault="00094A37" w:rsidP="00094A37">
            <w:pPr>
              <w:rPr>
                <w:rFonts w:ascii="Arial" w:hAnsi="Arial" w:cs="Arial"/>
                <w:sz w:val="20"/>
                <w:szCs w:val="24"/>
              </w:rPr>
            </w:pPr>
            <w:r w:rsidRPr="00094A37">
              <w:rPr>
                <w:rFonts w:ascii="Arial" w:hAnsi="Arial" w:cs="Arial"/>
                <w:sz w:val="20"/>
                <w:szCs w:val="24"/>
              </w:rPr>
              <w:t>In the event that the AB does not comply with a decision of the LEP, the matter will be considered by the Chair of the LEP, Company Secretary and Section 151 Officer from the AB (as appropriate) to seek to resolve the issue. If the conflict remains unresolved all parties will agree to appoint an independent person(s) to assist the LEP and the accountable body to resolve the matter.</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25</w:t>
            </w:r>
          </w:p>
        </w:tc>
        <w:tc>
          <w:tcPr>
            <w:tcW w:w="0" w:type="auto"/>
          </w:tcPr>
          <w:p w:rsidR="00CD1ADD" w:rsidRPr="00094A37" w:rsidRDefault="00094A37" w:rsidP="002005C5">
            <w:pPr>
              <w:rPr>
                <w:rFonts w:ascii="Arial" w:hAnsi="Arial" w:cs="Arial"/>
                <w:sz w:val="20"/>
                <w:szCs w:val="24"/>
              </w:rPr>
            </w:pPr>
            <w:r w:rsidRPr="00094A37">
              <w:rPr>
                <w:rFonts w:ascii="Arial" w:hAnsi="Arial" w:cs="Arial"/>
                <w:sz w:val="20"/>
                <w:szCs w:val="24"/>
              </w:rPr>
              <w:t>Changes in Government policy limiting role and responsibilities of LEPs</w:t>
            </w:r>
          </w:p>
        </w:tc>
        <w:tc>
          <w:tcPr>
            <w:tcW w:w="0" w:type="auto"/>
          </w:tcPr>
          <w:p w:rsidR="00CD1ADD" w:rsidRPr="00094A37" w:rsidRDefault="00094A37" w:rsidP="00094A37">
            <w:pPr>
              <w:rPr>
                <w:rFonts w:ascii="Arial" w:hAnsi="Arial" w:cs="Arial"/>
                <w:sz w:val="20"/>
                <w:szCs w:val="24"/>
              </w:rPr>
            </w:pPr>
            <w:r w:rsidRPr="00094A37">
              <w:rPr>
                <w:rFonts w:ascii="Arial" w:hAnsi="Arial" w:cs="Arial"/>
                <w:sz w:val="20"/>
                <w:szCs w:val="24"/>
              </w:rPr>
              <w:t xml:space="preserve">LEPs are key delivery vehicles designed to </w:t>
            </w:r>
            <w:r>
              <w:rPr>
                <w:rFonts w:ascii="Arial" w:hAnsi="Arial" w:cs="Arial"/>
                <w:sz w:val="20"/>
                <w:szCs w:val="24"/>
              </w:rPr>
              <w:t xml:space="preserve">deliver the Government's local </w:t>
            </w:r>
            <w:r w:rsidRPr="00094A37">
              <w:rPr>
                <w:rFonts w:ascii="Arial" w:hAnsi="Arial" w:cs="Arial"/>
                <w:sz w:val="20"/>
                <w:szCs w:val="24"/>
              </w:rPr>
              <w:t xml:space="preserve">growth and devolution objectives. LEPs can influence Government thinking, but cannot prevent Government from limiting </w:t>
            </w:r>
            <w:r w:rsidRPr="00094A37">
              <w:rPr>
                <w:rFonts w:ascii="Arial" w:hAnsi="Arial" w:cs="Arial"/>
                <w:sz w:val="20"/>
                <w:szCs w:val="24"/>
              </w:rPr>
              <w:lastRenderedPageBreak/>
              <w:t xml:space="preserve">and/or disestablishing LEPs, in terms of public policy and funding, if this is the will of Government.      </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A429C6">
              <w:rPr>
                <w:rFonts w:ascii="Arial" w:hAnsi="Arial" w:cs="Arial"/>
                <w:sz w:val="20"/>
                <w:szCs w:val="24"/>
                <w:highlight w:val="yellow"/>
              </w:rPr>
              <w:t>26</w:t>
            </w:r>
          </w:p>
        </w:tc>
        <w:tc>
          <w:tcPr>
            <w:tcW w:w="0" w:type="auto"/>
          </w:tcPr>
          <w:p w:rsidR="00CD1ADD" w:rsidRPr="00094A37" w:rsidRDefault="00094A37" w:rsidP="002005C5">
            <w:pPr>
              <w:rPr>
                <w:rFonts w:ascii="Arial" w:hAnsi="Arial" w:cs="Arial"/>
                <w:sz w:val="20"/>
                <w:szCs w:val="24"/>
              </w:rPr>
            </w:pPr>
            <w:r w:rsidRPr="00094A37">
              <w:rPr>
                <w:rFonts w:ascii="Arial" w:hAnsi="Arial" w:cs="Arial"/>
                <w:sz w:val="20"/>
                <w:szCs w:val="24"/>
              </w:rPr>
              <w:t>Change in Government funding commitments to extant GD/CD  programmes</w:t>
            </w:r>
          </w:p>
        </w:tc>
        <w:tc>
          <w:tcPr>
            <w:tcW w:w="0" w:type="auto"/>
          </w:tcPr>
          <w:p w:rsidR="00094A37" w:rsidRPr="00094A37" w:rsidRDefault="00094A37" w:rsidP="00094A37">
            <w:pPr>
              <w:rPr>
                <w:rFonts w:ascii="Arial" w:hAnsi="Arial" w:cs="Arial"/>
                <w:sz w:val="20"/>
                <w:szCs w:val="24"/>
              </w:rPr>
            </w:pPr>
            <w:r w:rsidRPr="00094A37">
              <w:rPr>
                <w:rFonts w:ascii="Arial" w:hAnsi="Arial" w:cs="Arial"/>
                <w:sz w:val="20"/>
                <w:szCs w:val="24"/>
              </w:rPr>
              <w:t xml:space="preserve">Long-term funding commitments made to LEPs are subject to changes in  Government (and changes in national priorities) and the outcome of                  </w:t>
            </w:r>
          </w:p>
          <w:p w:rsidR="00CD1ADD" w:rsidRPr="00094A37" w:rsidRDefault="00094A37" w:rsidP="00094A37">
            <w:pPr>
              <w:rPr>
                <w:rFonts w:ascii="Arial" w:hAnsi="Arial" w:cs="Arial"/>
                <w:sz w:val="20"/>
                <w:szCs w:val="24"/>
              </w:rPr>
            </w:pPr>
            <w:r w:rsidRPr="00094A37">
              <w:rPr>
                <w:rFonts w:ascii="Arial" w:hAnsi="Arial" w:cs="Arial"/>
                <w:sz w:val="20"/>
                <w:szCs w:val="24"/>
              </w:rPr>
              <w:t xml:space="preserve">Comprehensive Spending Reviews. LEPs have limited ability to influence the outcome of these events.  </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27</w:t>
            </w:r>
          </w:p>
        </w:tc>
        <w:tc>
          <w:tcPr>
            <w:tcW w:w="0" w:type="auto"/>
          </w:tcPr>
          <w:p w:rsidR="00CD1ADD" w:rsidRPr="00094A37" w:rsidRDefault="00094A37" w:rsidP="005E4B5B">
            <w:pPr>
              <w:rPr>
                <w:rFonts w:ascii="Arial" w:hAnsi="Arial" w:cs="Arial"/>
                <w:sz w:val="20"/>
                <w:szCs w:val="24"/>
              </w:rPr>
            </w:pPr>
            <w:r w:rsidRPr="00094A37">
              <w:rPr>
                <w:rFonts w:ascii="Arial" w:hAnsi="Arial" w:cs="Arial"/>
                <w:sz w:val="20"/>
                <w:szCs w:val="24"/>
              </w:rPr>
              <w:t>Change in Government policy regarding the operation and collection of Business Rates (EZ)</w:t>
            </w:r>
          </w:p>
        </w:tc>
        <w:tc>
          <w:tcPr>
            <w:tcW w:w="0" w:type="auto"/>
          </w:tcPr>
          <w:p w:rsidR="00CD1ADD" w:rsidRPr="00094A37" w:rsidRDefault="00094A37" w:rsidP="00094A37">
            <w:pPr>
              <w:rPr>
                <w:rFonts w:ascii="Arial" w:hAnsi="Arial" w:cs="Arial"/>
                <w:sz w:val="20"/>
                <w:szCs w:val="24"/>
              </w:rPr>
            </w:pPr>
            <w:r w:rsidRPr="00094A37">
              <w:rPr>
                <w:rFonts w:ascii="Arial" w:hAnsi="Arial" w:cs="Arial"/>
                <w:sz w:val="20"/>
                <w:szCs w:val="24"/>
              </w:rPr>
              <w:t>LEPs have no control over the national guidance relating to the use of business rates generated on EZ sites. Should G</w:t>
            </w:r>
            <w:r>
              <w:rPr>
                <w:rFonts w:ascii="Arial" w:hAnsi="Arial" w:cs="Arial"/>
                <w:sz w:val="20"/>
                <w:szCs w:val="24"/>
              </w:rPr>
              <w:t xml:space="preserve">overnment adversely change or  </w:t>
            </w:r>
            <w:r w:rsidRPr="00094A37">
              <w:rPr>
                <w:rFonts w:ascii="Arial" w:hAnsi="Arial" w:cs="Arial"/>
                <w:sz w:val="20"/>
                <w:szCs w:val="24"/>
              </w:rPr>
              <w:t>terminate these arrangements before the end of the planned lifespan of an   EZ, the LEP/AB will need to work with Governm</w:t>
            </w:r>
            <w:r>
              <w:rPr>
                <w:rFonts w:ascii="Arial" w:hAnsi="Arial" w:cs="Arial"/>
                <w:sz w:val="20"/>
                <w:szCs w:val="24"/>
              </w:rPr>
              <w:t>ent to mitigate any financial</w:t>
            </w:r>
            <w:r w:rsidRPr="00094A37">
              <w:rPr>
                <w:rFonts w:ascii="Arial" w:hAnsi="Arial" w:cs="Arial"/>
                <w:sz w:val="20"/>
                <w:szCs w:val="24"/>
              </w:rPr>
              <w:t xml:space="preserve"> impacts and/or work with the relevant local </w:t>
            </w:r>
            <w:r>
              <w:rPr>
                <w:rFonts w:ascii="Arial" w:hAnsi="Arial" w:cs="Arial"/>
                <w:sz w:val="20"/>
                <w:szCs w:val="24"/>
              </w:rPr>
              <w:t xml:space="preserve">authorities to ensure extant </w:t>
            </w:r>
            <w:r w:rsidRPr="00094A37">
              <w:rPr>
                <w:rFonts w:ascii="Arial" w:hAnsi="Arial" w:cs="Arial"/>
                <w:sz w:val="20"/>
                <w:szCs w:val="24"/>
              </w:rPr>
              <w:t xml:space="preserve">arrangements continue for the life of the EZ.   </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28</w:t>
            </w:r>
          </w:p>
        </w:tc>
        <w:tc>
          <w:tcPr>
            <w:tcW w:w="0" w:type="auto"/>
          </w:tcPr>
          <w:p w:rsidR="00CD1ADD" w:rsidRPr="00094A37" w:rsidRDefault="00094A37" w:rsidP="005E4B5B">
            <w:pPr>
              <w:rPr>
                <w:rFonts w:ascii="Arial" w:hAnsi="Arial" w:cs="Arial"/>
                <w:sz w:val="20"/>
                <w:szCs w:val="24"/>
              </w:rPr>
            </w:pPr>
            <w:r w:rsidRPr="00094A37">
              <w:rPr>
                <w:rFonts w:ascii="Arial" w:hAnsi="Arial" w:cs="Arial"/>
                <w:sz w:val="20"/>
                <w:szCs w:val="24"/>
              </w:rPr>
              <w:t>Changes due to accountable body arrangements with possible transition to Combined Authority</w:t>
            </w:r>
          </w:p>
        </w:tc>
        <w:tc>
          <w:tcPr>
            <w:tcW w:w="0" w:type="auto"/>
          </w:tcPr>
          <w:p w:rsidR="00CD1ADD" w:rsidRPr="00094A37" w:rsidRDefault="00094A37" w:rsidP="00A429C6">
            <w:pPr>
              <w:rPr>
                <w:rFonts w:ascii="Arial" w:hAnsi="Arial" w:cs="Arial"/>
                <w:sz w:val="20"/>
                <w:szCs w:val="24"/>
              </w:rPr>
            </w:pPr>
            <w:r w:rsidRPr="00094A37">
              <w:rPr>
                <w:rFonts w:ascii="Arial" w:hAnsi="Arial" w:cs="Arial"/>
                <w:sz w:val="20"/>
                <w:szCs w:val="24"/>
              </w:rPr>
              <w:t xml:space="preserve">Combined Authority proposals in Lancashire are still in the early stages of development. No changes are currently proposed in the LEP's AB arrangements, but any change proposals would be agreed by the LEP, AB, and Lancashire's local authorities.  </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29</w:t>
            </w:r>
          </w:p>
        </w:tc>
        <w:tc>
          <w:tcPr>
            <w:tcW w:w="0" w:type="auto"/>
          </w:tcPr>
          <w:p w:rsidR="00CD1ADD" w:rsidRPr="00094A37" w:rsidRDefault="00094A37" w:rsidP="00E949E8">
            <w:pPr>
              <w:rPr>
                <w:rFonts w:ascii="Arial" w:hAnsi="Arial" w:cs="Arial"/>
                <w:sz w:val="20"/>
                <w:szCs w:val="24"/>
              </w:rPr>
            </w:pPr>
            <w:r w:rsidRPr="00094A37">
              <w:rPr>
                <w:rFonts w:ascii="Arial" w:hAnsi="Arial" w:cs="Arial"/>
                <w:sz w:val="20"/>
                <w:szCs w:val="24"/>
              </w:rPr>
              <w:t xml:space="preserve">Proposed combined authority arrangements fail to </w:t>
            </w:r>
            <w:r w:rsidR="00E949E8">
              <w:rPr>
                <w:rFonts w:ascii="Arial" w:hAnsi="Arial" w:cs="Arial"/>
                <w:sz w:val="20"/>
                <w:szCs w:val="24"/>
              </w:rPr>
              <w:t xml:space="preserve">secure funding streams </w:t>
            </w:r>
            <w:r w:rsidRPr="00094A37">
              <w:rPr>
                <w:rFonts w:ascii="Arial" w:hAnsi="Arial" w:cs="Arial"/>
                <w:sz w:val="20"/>
                <w:szCs w:val="24"/>
              </w:rPr>
              <w:t>required to support extant/future growth programmes</w:t>
            </w:r>
          </w:p>
        </w:tc>
        <w:tc>
          <w:tcPr>
            <w:tcW w:w="0" w:type="auto"/>
          </w:tcPr>
          <w:p w:rsidR="00CD1ADD" w:rsidRPr="00094A37" w:rsidRDefault="00094A37" w:rsidP="00094A37">
            <w:pPr>
              <w:rPr>
                <w:rFonts w:ascii="Arial" w:hAnsi="Arial" w:cs="Arial"/>
                <w:sz w:val="20"/>
                <w:szCs w:val="24"/>
              </w:rPr>
            </w:pPr>
            <w:r w:rsidRPr="00094A37">
              <w:rPr>
                <w:rFonts w:ascii="Arial" w:hAnsi="Arial" w:cs="Arial"/>
                <w:sz w:val="20"/>
                <w:szCs w:val="24"/>
              </w:rPr>
              <w:t>The LEP has been very successful in securing public and private sector funding to support the delivery of agreed growth priorities. Government's devolution plans in England are evolving, with developmen</w:t>
            </w:r>
            <w:r>
              <w:rPr>
                <w:rFonts w:ascii="Arial" w:hAnsi="Arial" w:cs="Arial"/>
                <w:sz w:val="20"/>
                <w:szCs w:val="24"/>
              </w:rPr>
              <w:t xml:space="preserve">ts in Manchester possibly </w:t>
            </w:r>
            <w:r w:rsidRPr="00094A37">
              <w:rPr>
                <w:rFonts w:ascii="Arial" w:hAnsi="Arial" w:cs="Arial"/>
                <w:sz w:val="20"/>
                <w:szCs w:val="24"/>
              </w:rPr>
              <w:t xml:space="preserve">signalling the way forward. The role (and form) of Combined Authorities, as opposed to LEPs, in securing future local growth programmes is still to be determined.  </w:t>
            </w:r>
          </w:p>
        </w:tc>
      </w:tr>
      <w:tr w:rsidR="00CD1ADD" w:rsidTr="00A429C6">
        <w:tc>
          <w:tcPr>
            <w:tcW w:w="0" w:type="auto"/>
          </w:tcPr>
          <w:p w:rsidR="00CD1ADD" w:rsidRPr="00094A37" w:rsidRDefault="00094A37" w:rsidP="002005C5">
            <w:pPr>
              <w:rPr>
                <w:rFonts w:ascii="Arial" w:hAnsi="Arial" w:cs="Arial"/>
                <w:b/>
                <w:sz w:val="20"/>
                <w:szCs w:val="24"/>
              </w:rPr>
            </w:pPr>
            <w:r w:rsidRPr="00094A37">
              <w:rPr>
                <w:rFonts w:ascii="Arial" w:hAnsi="Arial" w:cs="Arial"/>
                <w:b/>
                <w:sz w:val="20"/>
                <w:szCs w:val="24"/>
              </w:rPr>
              <w:t>REPUTATIONAL</w:t>
            </w:r>
          </w:p>
        </w:tc>
        <w:tc>
          <w:tcPr>
            <w:tcW w:w="0" w:type="auto"/>
          </w:tcPr>
          <w:p w:rsidR="00CD1ADD" w:rsidRPr="00094A37" w:rsidRDefault="00CD1ADD" w:rsidP="002005C5">
            <w:pPr>
              <w:rPr>
                <w:rFonts w:ascii="Arial" w:hAnsi="Arial" w:cs="Arial"/>
                <w:sz w:val="20"/>
                <w:szCs w:val="24"/>
              </w:rPr>
            </w:pPr>
            <w:r w:rsidRPr="00A429C6">
              <w:rPr>
                <w:rFonts w:ascii="Arial" w:hAnsi="Arial" w:cs="Arial"/>
                <w:sz w:val="20"/>
                <w:szCs w:val="24"/>
                <w:highlight w:val="yellow"/>
              </w:rPr>
              <w:t>30</w:t>
            </w:r>
          </w:p>
        </w:tc>
        <w:tc>
          <w:tcPr>
            <w:tcW w:w="0" w:type="auto"/>
          </w:tcPr>
          <w:p w:rsidR="00CD1ADD" w:rsidRPr="00094A37" w:rsidRDefault="00094A37" w:rsidP="002005C5">
            <w:pPr>
              <w:rPr>
                <w:rFonts w:ascii="Arial" w:hAnsi="Arial" w:cs="Arial"/>
                <w:sz w:val="20"/>
                <w:szCs w:val="24"/>
              </w:rPr>
            </w:pPr>
            <w:r w:rsidRPr="00094A37">
              <w:rPr>
                <w:rFonts w:ascii="Arial" w:hAnsi="Arial" w:cs="Arial"/>
                <w:sz w:val="20"/>
                <w:szCs w:val="24"/>
              </w:rPr>
              <w:t xml:space="preserve">LEP objectives and funding priorities criticised by local stakeholders  </w:t>
            </w:r>
          </w:p>
        </w:tc>
        <w:tc>
          <w:tcPr>
            <w:tcW w:w="0" w:type="auto"/>
          </w:tcPr>
          <w:p w:rsidR="00CD1ADD" w:rsidRPr="00094A37" w:rsidRDefault="00094A37" w:rsidP="00094A37">
            <w:pPr>
              <w:rPr>
                <w:rFonts w:ascii="Arial" w:hAnsi="Arial" w:cs="Arial"/>
                <w:sz w:val="20"/>
                <w:szCs w:val="24"/>
              </w:rPr>
            </w:pPr>
            <w:r w:rsidRPr="00094A37">
              <w:rPr>
                <w:rFonts w:ascii="Arial" w:hAnsi="Arial" w:cs="Arial"/>
                <w:sz w:val="20"/>
                <w:szCs w:val="24"/>
              </w:rPr>
              <w:t>The LEP has an agreed SEP and engaged stakeholders (including major public/private sector partners and funders, business networks, and key place-based representatives) in its development. The SEP wil</w:t>
            </w:r>
            <w:r>
              <w:rPr>
                <w:rFonts w:ascii="Arial" w:hAnsi="Arial" w:cs="Arial"/>
                <w:sz w:val="20"/>
                <w:szCs w:val="24"/>
              </w:rPr>
              <w:t>l be refreshed, periodically</w:t>
            </w:r>
            <w:r w:rsidR="00E949E8">
              <w:rPr>
                <w:rFonts w:ascii="Arial" w:hAnsi="Arial" w:cs="Arial"/>
                <w:sz w:val="20"/>
                <w:szCs w:val="24"/>
              </w:rPr>
              <w:t>, and</w:t>
            </w:r>
            <w:r w:rsidRPr="00094A37">
              <w:rPr>
                <w:rFonts w:ascii="Arial" w:hAnsi="Arial" w:cs="Arial"/>
                <w:sz w:val="20"/>
                <w:szCs w:val="24"/>
              </w:rPr>
              <w:t xml:space="preserve"> stakeholders are regularly updated on the</w:t>
            </w:r>
            <w:r>
              <w:rPr>
                <w:rFonts w:ascii="Arial" w:hAnsi="Arial" w:cs="Arial"/>
                <w:sz w:val="20"/>
                <w:szCs w:val="24"/>
              </w:rPr>
              <w:t xml:space="preserve"> LEP's progress, and they are</w:t>
            </w:r>
            <w:r w:rsidRPr="00094A37">
              <w:rPr>
                <w:rFonts w:ascii="Arial" w:hAnsi="Arial" w:cs="Arial"/>
                <w:sz w:val="20"/>
                <w:szCs w:val="24"/>
              </w:rPr>
              <w:t xml:space="preserve"> actively engaged in the development of new/existing programmes. However, some individuals, businesses or representatives may feel their local priorities are not reflected in Lancashire's growth plans.      </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31</w:t>
            </w:r>
          </w:p>
        </w:tc>
        <w:tc>
          <w:tcPr>
            <w:tcW w:w="0" w:type="auto"/>
          </w:tcPr>
          <w:p w:rsidR="00CD1ADD" w:rsidRPr="00094A37" w:rsidRDefault="00094A37" w:rsidP="002005C5">
            <w:pPr>
              <w:rPr>
                <w:rFonts w:ascii="Arial" w:hAnsi="Arial" w:cs="Arial"/>
                <w:sz w:val="20"/>
                <w:szCs w:val="24"/>
              </w:rPr>
            </w:pPr>
            <w:r w:rsidRPr="00094A37">
              <w:rPr>
                <w:rFonts w:ascii="Arial" w:hAnsi="Arial" w:cs="Arial"/>
                <w:sz w:val="20"/>
                <w:szCs w:val="24"/>
              </w:rPr>
              <w:t>LEP fails to generate due recognition for its work</w:t>
            </w:r>
          </w:p>
        </w:tc>
        <w:tc>
          <w:tcPr>
            <w:tcW w:w="0" w:type="auto"/>
          </w:tcPr>
          <w:p w:rsidR="00CD1ADD" w:rsidRPr="00094A37" w:rsidRDefault="00094A37" w:rsidP="00094A37">
            <w:pPr>
              <w:rPr>
                <w:rFonts w:ascii="Arial" w:hAnsi="Arial" w:cs="Arial"/>
                <w:sz w:val="20"/>
                <w:szCs w:val="24"/>
              </w:rPr>
            </w:pPr>
            <w:r w:rsidRPr="00094A37">
              <w:rPr>
                <w:rFonts w:ascii="Arial" w:hAnsi="Arial" w:cs="Arial"/>
                <w:sz w:val="20"/>
                <w:szCs w:val="24"/>
              </w:rPr>
              <w:t xml:space="preserve">The LEP is currently strengthening its strategic marketing capacity and place-marketing narrative, and developing </w:t>
            </w:r>
            <w:r>
              <w:rPr>
                <w:rFonts w:ascii="Arial" w:hAnsi="Arial" w:cs="Arial"/>
                <w:sz w:val="20"/>
                <w:szCs w:val="24"/>
              </w:rPr>
              <w:t xml:space="preserve">a robust communication plan to </w:t>
            </w:r>
            <w:r w:rsidR="00E949E8" w:rsidRPr="00094A37">
              <w:rPr>
                <w:rFonts w:ascii="Arial" w:hAnsi="Arial" w:cs="Arial"/>
                <w:sz w:val="20"/>
                <w:szCs w:val="24"/>
              </w:rPr>
              <w:t>engage local</w:t>
            </w:r>
            <w:r w:rsidRPr="00094A37">
              <w:rPr>
                <w:rFonts w:ascii="Arial" w:hAnsi="Arial" w:cs="Arial"/>
                <w:sz w:val="20"/>
                <w:szCs w:val="24"/>
              </w:rPr>
              <w:t xml:space="preserve"> and national stakeholders.</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32</w:t>
            </w:r>
          </w:p>
        </w:tc>
        <w:tc>
          <w:tcPr>
            <w:tcW w:w="0" w:type="auto"/>
          </w:tcPr>
          <w:p w:rsidR="00CD1ADD" w:rsidRPr="00094A37" w:rsidRDefault="00094A37" w:rsidP="00094A37">
            <w:pPr>
              <w:rPr>
                <w:rFonts w:ascii="Arial" w:hAnsi="Arial" w:cs="Arial"/>
                <w:sz w:val="20"/>
                <w:szCs w:val="24"/>
              </w:rPr>
            </w:pPr>
            <w:r w:rsidRPr="00094A37">
              <w:rPr>
                <w:rFonts w:ascii="Arial" w:hAnsi="Arial" w:cs="Arial"/>
                <w:sz w:val="20"/>
                <w:szCs w:val="24"/>
              </w:rPr>
              <w:t>PS not receiving final LEP approval (due to  inconclusive  business cases) (GD</w:t>
            </w:r>
          </w:p>
        </w:tc>
        <w:tc>
          <w:tcPr>
            <w:tcW w:w="0" w:type="auto"/>
          </w:tcPr>
          <w:p w:rsidR="00CD1ADD" w:rsidRPr="00094A37" w:rsidRDefault="00094A37" w:rsidP="00094A37">
            <w:pPr>
              <w:rPr>
                <w:rFonts w:ascii="Arial" w:hAnsi="Arial" w:cs="Arial"/>
                <w:sz w:val="20"/>
                <w:szCs w:val="24"/>
              </w:rPr>
            </w:pPr>
            <w:r w:rsidRPr="00094A37">
              <w:rPr>
                <w:rFonts w:ascii="Arial" w:hAnsi="Arial" w:cs="Arial"/>
                <w:sz w:val="20"/>
                <w:szCs w:val="24"/>
              </w:rPr>
              <w:t xml:space="preserve">All PS understand the need to submit final business cases to the LEP, which will be independently assessed, before any final </w:t>
            </w:r>
            <w:r w:rsidRPr="00094A37">
              <w:rPr>
                <w:rFonts w:ascii="Arial" w:hAnsi="Arial" w:cs="Arial"/>
                <w:sz w:val="20"/>
                <w:szCs w:val="24"/>
              </w:rPr>
              <w:lastRenderedPageBreak/>
              <w:t>approvals are given. The</w:t>
            </w:r>
            <w:r>
              <w:rPr>
                <w:rFonts w:ascii="Arial" w:hAnsi="Arial" w:cs="Arial"/>
                <w:sz w:val="20"/>
                <w:szCs w:val="24"/>
              </w:rPr>
              <w:t xml:space="preserve"> </w:t>
            </w:r>
            <w:r w:rsidRPr="00094A37">
              <w:rPr>
                <w:rFonts w:ascii="Arial" w:hAnsi="Arial" w:cs="Arial"/>
                <w:sz w:val="20"/>
                <w:szCs w:val="24"/>
              </w:rPr>
              <w:t>LEP's project development and decision makin</w:t>
            </w:r>
            <w:r>
              <w:rPr>
                <w:rFonts w:ascii="Arial" w:hAnsi="Arial" w:cs="Arial"/>
                <w:sz w:val="20"/>
                <w:szCs w:val="24"/>
              </w:rPr>
              <w:t>g processes are clearly set out</w:t>
            </w:r>
            <w:r w:rsidRPr="00094A37">
              <w:rPr>
                <w:rFonts w:ascii="Arial" w:hAnsi="Arial" w:cs="Arial"/>
                <w:sz w:val="20"/>
                <w:szCs w:val="24"/>
              </w:rPr>
              <w:t xml:space="preserve"> in the Assurance Framework.</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33</w:t>
            </w:r>
          </w:p>
        </w:tc>
        <w:tc>
          <w:tcPr>
            <w:tcW w:w="0" w:type="auto"/>
          </w:tcPr>
          <w:p w:rsidR="00CD1ADD" w:rsidRPr="00094A37" w:rsidRDefault="00094A37" w:rsidP="002005C5">
            <w:pPr>
              <w:rPr>
                <w:rFonts w:ascii="Arial" w:hAnsi="Arial" w:cs="Arial"/>
                <w:sz w:val="20"/>
                <w:szCs w:val="24"/>
              </w:rPr>
            </w:pPr>
            <w:r w:rsidRPr="00094A37">
              <w:rPr>
                <w:rFonts w:ascii="Arial" w:hAnsi="Arial" w:cs="Arial"/>
                <w:sz w:val="20"/>
                <w:szCs w:val="24"/>
              </w:rPr>
              <w:t>LEP found to be in breach of its own Assurance Framework</w:t>
            </w:r>
          </w:p>
        </w:tc>
        <w:tc>
          <w:tcPr>
            <w:tcW w:w="0" w:type="auto"/>
          </w:tcPr>
          <w:p w:rsidR="00CD1ADD" w:rsidRPr="00094A37" w:rsidRDefault="00094A37" w:rsidP="005E4B5B">
            <w:pPr>
              <w:rPr>
                <w:rFonts w:ascii="Arial" w:hAnsi="Arial" w:cs="Arial"/>
                <w:sz w:val="20"/>
                <w:szCs w:val="24"/>
              </w:rPr>
            </w:pPr>
            <w:r w:rsidRPr="00094A37">
              <w:rPr>
                <w:rFonts w:ascii="Arial" w:hAnsi="Arial" w:cs="Arial"/>
                <w:sz w:val="20"/>
                <w:szCs w:val="24"/>
              </w:rPr>
              <w:t>The LEP Board has established a Per</w:t>
            </w:r>
            <w:r w:rsidR="00F117F9">
              <w:rPr>
                <w:rFonts w:ascii="Arial" w:hAnsi="Arial" w:cs="Arial"/>
                <w:sz w:val="20"/>
                <w:szCs w:val="24"/>
              </w:rPr>
              <w:t>formance Committee and other key</w:t>
            </w:r>
            <w:r w:rsidRPr="00094A37">
              <w:rPr>
                <w:rFonts w:ascii="Arial" w:hAnsi="Arial" w:cs="Arial"/>
                <w:sz w:val="20"/>
                <w:szCs w:val="24"/>
              </w:rPr>
              <w:t xml:space="preserve"> Committees with responsibility for tracking the progress of core programmes and initiatives and over-seeing the conduct </w:t>
            </w:r>
            <w:r>
              <w:rPr>
                <w:rFonts w:ascii="Arial" w:hAnsi="Arial" w:cs="Arial"/>
                <w:sz w:val="20"/>
                <w:szCs w:val="24"/>
              </w:rPr>
              <w:t xml:space="preserve">of LEP's activities. The LEP's </w:t>
            </w:r>
            <w:r w:rsidRPr="00094A37">
              <w:rPr>
                <w:rFonts w:ascii="Arial" w:hAnsi="Arial" w:cs="Arial"/>
                <w:sz w:val="20"/>
                <w:szCs w:val="24"/>
              </w:rPr>
              <w:t>Company Secretary function is also responsible for ensuring the LEP operates within the Assurance Framework. The Assurance Framework sets out the</w:t>
            </w:r>
            <w:r>
              <w:rPr>
                <w:rFonts w:ascii="Arial" w:hAnsi="Arial" w:cs="Arial"/>
                <w:sz w:val="20"/>
                <w:szCs w:val="24"/>
              </w:rPr>
              <w:t xml:space="preserve"> </w:t>
            </w:r>
            <w:r w:rsidRPr="00094A37">
              <w:rPr>
                <w:rFonts w:ascii="Arial" w:hAnsi="Arial" w:cs="Arial"/>
                <w:sz w:val="20"/>
                <w:szCs w:val="24"/>
              </w:rPr>
              <w:t xml:space="preserve">appropriate remedies to address any reported/suspected breaches.         </w:t>
            </w:r>
          </w:p>
        </w:tc>
      </w:tr>
      <w:tr w:rsidR="00CD1ADD" w:rsidTr="00A429C6">
        <w:tc>
          <w:tcPr>
            <w:tcW w:w="0" w:type="auto"/>
          </w:tcPr>
          <w:p w:rsidR="00CD1ADD" w:rsidRPr="00094A37" w:rsidRDefault="00CD1ADD" w:rsidP="002005C5">
            <w:pPr>
              <w:rPr>
                <w:rFonts w:ascii="Arial" w:hAnsi="Arial" w:cs="Arial"/>
                <w:sz w:val="20"/>
                <w:szCs w:val="24"/>
              </w:rPr>
            </w:pPr>
          </w:p>
        </w:tc>
        <w:tc>
          <w:tcPr>
            <w:tcW w:w="0" w:type="auto"/>
          </w:tcPr>
          <w:p w:rsidR="00CD1ADD" w:rsidRPr="00094A37" w:rsidRDefault="00CD1ADD" w:rsidP="002005C5">
            <w:pPr>
              <w:rPr>
                <w:rFonts w:ascii="Arial" w:hAnsi="Arial" w:cs="Arial"/>
                <w:sz w:val="20"/>
                <w:szCs w:val="24"/>
              </w:rPr>
            </w:pPr>
            <w:r w:rsidRPr="00094A37">
              <w:rPr>
                <w:rFonts w:ascii="Arial" w:hAnsi="Arial" w:cs="Arial"/>
                <w:sz w:val="20"/>
                <w:szCs w:val="24"/>
              </w:rPr>
              <w:t>34</w:t>
            </w:r>
          </w:p>
        </w:tc>
        <w:tc>
          <w:tcPr>
            <w:tcW w:w="0" w:type="auto"/>
          </w:tcPr>
          <w:p w:rsidR="00CD1ADD" w:rsidRPr="00094A37" w:rsidRDefault="00094A37" w:rsidP="00094A37">
            <w:pPr>
              <w:rPr>
                <w:rFonts w:ascii="Arial" w:hAnsi="Arial" w:cs="Arial"/>
                <w:sz w:val="20"/>
                <w:szCs w:val="24"/>
              </w:rPr>
            </w:pPr>
            <w:r w:rsidRPr="00094A37">
              <w:rPr>
                <w:rFonts w:ascii="Arial" w:hAnsi="Arial" w:cs="Arial"/>
                <w:sz w:val="20"/>
                <w:szCs w:val="24"/>
              </w:rPr>
              <w:t>LEP credibility and remit limited by proposed Combined Authority arrangements</w:t>
            </w:r>
          </w:p>
        </w:tc>
        <w:tc>
          <w:tcPr>
            <w:tcW w:w="0" w:type="auto"/>
          </w:tcPr>
          <w:p w:rsidR="00CD1ADD" w:rsidRPr="00094A37" w:rsidRDefault="00094A37" w:rsidP="002005C5">
            <w:pPr>
              <w:rPr>
                <w:rFonts w:ascii="Arial" w:hAnsi="Arial" w:cs="Arial"/>
                <w:sz w:val="20"/>
                <w:szCs w:val="24"/>
              </w:rPr>
            </w:pPr>
            <w:r w:rsidRPr="00094A37">
              <w:rPr>
                <w:rFonts w:ascii="Arial" w:hAnsi="Arial" w:cs="Arial"/>
                <w:sz w:val="20"/>
                <w:szCs w:val="24"/>
              </w:rPr>
              <w:t xml:space="preserve">Combined Authority proposals in Lancashire are in the early stages of              development. Proposals would be considered and agreed by the LEP, AB, and Lancashire's local authorities.  </w:t>
            </w:r>
          </w:p>
        </w:tc>
      </w:tr>
    </w:tbl>
    <w:p w:rsidR="002005C5" w:rsidRPr="002005C5" w:rsidRDefault="002005C5" w:rsidP="002005C5">
      <w:pPr>
        <w:spacing w:after="0"/>
        <w:rPr>
          <w:rFonts w:ascii="Arial" w:hAnsi="Arial" w:cs="Arial"/>
          <w:sz w:val="24"/>
          <w:szCs w:val="24"/>
        </w:rPr>
      </w:pPr>
    </w:p>
    <w:tbl>
      <w:tblPr>
        <w:tblStyle w:val="TableGrid"/>
        <w:tblpPr w:leftFromText="180" w:rightFromText="180" w:vertAnchor="text" w:horzAnchor="page" w:tblpX="3316" w:tblpY="-21"/>
        <w:tblW w:w="0" w:type="auto"/>
        <w:tblLook w:val="04A0" w:firstRow="1" w:lastRow="0" w:firstColumn="1" w:lastColumn="0" w:noHBand="0" w:noVBand="1"/>
      </w:tblPr>
      <w:tblGrid>
        <w:gridCol w:w="245"/>
      </w:tblGrid>
      <w:tr w:rsidR="00F117F9" w:rsidRPr="00F117F9" w:rsidTr="00F117F9">
        <w:trPr>
          <w:trHeight w:val="254"/>
        </w:trPr>
        <w:tc>
          <w:tcPr>
            <w:tcW w:w="245" w:type="dxa"/>
            <w:shd w:val="clear" w:color="auto" w:fill="FFFF00"/>
          </w:tcPr>
          <w:p w:rsidR="00F117F9" w:rsidRPr="00F117F9" w:rsidRDefault="00F117F9" w:rsidP="00F117F9">
            <w:pPr>
              <w:rPr>
                <w:rFonts w:ascii="Arial" w:hAnsi="Arial" w:cs="Arial"/>
                <w:sz w:val="24"/>
                <w:szCs w:val="24"/>
              </w:rPr>
            </w:pPr>
            <w:r w:rsidRPr="00F117F9">
              <w:rPr>
                <w:rFonts w:ascii="Arial" w:hAnsi="Arial" w:cs="Arial"/>
                <w:sz w:val="24"/>
                <w:szCs w:val="24"/>
              </w:rPr>
              <w:t xml:space="preserve">     </w:t>
            </w:r>
          </w:p>
        </w:tc>
      </w:tr>
    </w:tbl>
    <w:p w:rsidR="002005C5" w:rsidRPr="002005C5" w:rsidRDefault="00F117F9" w:rsidP="002005C5">
      <w:pPr>
        <w:spacing w:after="0"/>
        <w:rPr>
          <w:rFonts w:ascii="Arial" w:hAnsi="Arial" w:cs="Arial"/>
          <w:sz w:val="24"/>
          <w:szCs w:val="24"/>
        </w:rPr>
      </w:pPr>
      <w:r>
        <w:rPr>
          <w:rFonts w:ascii="Arial" w:hAnsi="Arial" w:cs="Arial"/>
          <w:sz w:val="24"/>
          <w:szCs w:val="24"/>
        </w:rPr>
        <w:t xml:space="preserve"> Core risk = </w:t>
      </w:r>
    </w:p>
    <w:p w:rsidR="00F117F9" w:rsidRDefault="00F117F9" w:rsidP="00A429C6">
      <w:pPr>
        <w:spacing w:after="0"/>
        <w:rPr>
          <w:rFonts w:ascii="Arial" w:hAnsi="Arial" w:cs="Arial"/>
          <w:sz w:val="24"/>
          <w:szCs w:val="24"/>
        </w:rPr>
      </w:pPr>
      <w:bookmarkStart w:id="0" w:name="_GoBack"/>
      <w:bookmarkEnd w:id="0"/>
    </w:p>
    <w:p w:rsidR="00A429C6" w:rsidRPr="00A429C6" w:rsidRDefault="00A429C6" w:rsidP="00A429C6">
      <w:pPr>
        <w:spacing w:after="0"/>
        <w:rPr>
          <w:rFonts w:ascii="Arial" w:hAnsi="Arial" w:cs="Arial"/>
          <w:sz w:val="24"/>
          <w:szCs w:val="24"/>
        </w:rPr>
      </w:pPr>
      <w:r w:rsidRPr="00A429C6">
        <w:rPr>
          <w:rFonts w:ascii="Arial" w:hAnsi="Arial" w:cs="Arial"/>
          <w:sz w:val="24"/>
          <w:szCs w:val="24"/>
        </w:rPr>
        <w:t xml:space="preserve">PS = </w:t>
      </w:r>
      <w:r w:rsidR="00F117F9">
        <w:rPr>
          <w:rFonts w:ascii="Arial" w:hAnsi="Arial" w:cs="Arial"/>
          <w:sz w:val="24"/>
          <w:szCs w:val="24"/>
        </w:rPr>
        <w:tab/>
      </w:r>
      <w:r w:rsidR="00F117F9">
        <w:rPr>
          <w:rFonts w:ascii="Arial" w:hAnsi="Arial" w:cs="Arial"/>
          <w:sz w:val="24"/>
          <w:szCs w:val="24"/>
        </w:rPr>
        <w:tab/>
      </w:r>
      <w:r w:rsidRPr="00A429C6">
        <w:rPr>
          <w:rFonts w:ascii="Arial" w:hAnsi="Arial" w:cs="Arial"/>
          <w:sz w:val="24"/>
          <w:szCs w:val="24"/>
        </w:rPr>
        <w:t xml:space="preserve">Project Sponsor </w:t>
      </w:r>
    </w:p>
    <w:p w:rsidR="00A429C6" w:rsidRPr="00A429C6" w:rsidRDefault="00A429C6" w:rsidP="00A429C6">
      <w:pPr>
        <w:spacing w:after="0"/>
        <w:rPr>
          <w:rFonts w:ascii="Arial" w:hAnsi="Arial" w:cs="Arial"/>
          <w:sz w:val="24"/>
          <w:szCs w:val="24"/>
        </w:rPr>
      </w:pPr>
      <w:r w:rsidRPr="00A429C6">
        <w:rPr>
          <w:rFonts w:ascii="Arial" w:hAnsi="Arial" w:cs="Arial"/>
          <w:sz w:val="24"/>
          <w:szCs w:val="24"/>
        </w:rPr>
        <w:t xml:space="preserve">AB = </w:t>
      </w:r>
      <w:r w:rsidR="00F117F9">
        <w:rPr>
          <w:rFonts w:ascii="Arial" w:hAnsi="Arial" w:cs="Arial"/>
          <w:sz w:val="24"/>
          <w:szCs w:val="24"/>
        </w:rPr>
        <w:tab/>
      </w:r>
      <w:r w:rsidR="00F117F9">
        <w:rPr>
          <w:rFonts w:ascii="Arial" w:hAnsi="Arial" w:cs="Arial"/>
          <w:sz w:val="24"/>
          <w:szCs w:val="24"/>
        </w:rPr>
        <w:tab/>
      </w:r>
      <w:r w:rsidRPr="00A429C6">
        <w:rPr>
          <w:rFonts w:ascii="Arial" w:hAnsi="Arial" w:cs="Arial"/>
          <w:sz w:val="24"/>
          <w:szCs w:val="24"/>
        </w:rPr>
        <w:t xml:space="preserve">Accountable Body </w:t>
      </w:r>
    </w:p>
    <w:p w:rsidR="00A429C6" w:rsidRPr="00A429C6" w:rsidRDefault="00A429C6" w:rsidP="00A429C6">
      <w:pPr>
        <w:spacing w:after="0"/>
        <w:rPr>
          <w:rFonts w:ascii="Arial" w:hAnsi="Arial" w:cs="Arial"/>
          <w:sz w:val="24"/>
          <w:szCs w:val="24"/>
        </w:rPr>
      </w:pPr>
      <w:r w:rsidRPr="00A429C6">
        <w:rPr>
          <w:rFonts w:ascii="Arial" w:hAnsi="Arial" w:cs="Arial"/>
          <w:sz w:val="24"/>
          <w:szCs w:val="24"/>
        </w:rPr>
        <w:t xml:space="preserve">GD = </w:t>
      </w:r>
      <w:r w:rsidR="00F117F9">
        <w:rPr>
          <w:rFonts w:ascii="Arial" w:hAnsi="Arial" w:cs="Arial"/>
          <w:sz w:val="24"/>
          <w:szCs w:val="24"/>
        </w:rPr>
        <w:tab/>
      </w:r>
      <w:r w:rsidR="00F117F9">
        <w:rPr>
          <w:rFonts w:ascii="Arial" w:hAnsi="Arial" w:cs="Arial"/>
          <w:sz w:val="24"/>
          <w:szCs w:val="24"/>
        </w:rPr>
        <w:tab/>
      </w:r>
      <w:r w:rsidRPr="00A429C6">
        <w:rPr>
          <w:rFonts w:ascii="Arial" w:hAnsi="Arial" w:cs="Arial"/>
          <w:sz w:val="24"/>
          <w:szCs w:val="24"/>
        </w:rPr>
        <w:t>Growth Deal</w:t>
      </w:r>
    </w:p>
    <w:p w:rsidR="00A429C6" w:rsidRPr="00A429C6" w:rsidRDefault="00A429C6" w:rsidP="00A429C6">
      <w:pPr>
        <w:spacing w:after="0"/>
        <w:rPr>
          <w:rFonts w:ascii="Arial" w:hAnsi="Arial" w:cs="Arial"/>
          <w:sz w:val="24"/>
          <w:szCs w:val="24"/>
        </w:rPr>
      </w:pPr>
      <w:r w:rsidRPr="00A429C6">
        <w:rPr>
          <w:rFonts w:ascii="Arial" w:hAnsi="Arial" w:cs="Arial"/>
          <w:sz w:val="24"/>
          <w:szCs w:val="24"/>
        </w:rPr>
        <w:t xml:space="preserve">CD = </w:t>
      </w:r>
      <w:r w:rsidR="00F117F9">
        <w:rPr>
          <w:rFonts w:ascii="Arial" w:hAnsi="Arial" w:cs="Arial"/>
          <w:sz w:val="24"/>
          <w:szCs w:val="24"/>
        </w:rPr>
        <w:tab/>
      </w:r>
      <w:r w:rsidR="00F117F9">
        <w:rPr>
          <w:rFonts w:ascii="Arial" w:hAnsi="Arial" w:cs="Arial"/>
          <w:sz w:val="24"/>
          <w:szCs w:val="24"/>
        </w:rPr>
        <w:tab/>
      </w:r>
      <w:r w:rsidRPr="00A429C6">
        <w:rPr>
          <w:rFonts w:ascii="Arial" w:hAnsi="Arial" w:cs="Arial"/>
          <w:sz w:val="24"/>
          <w:szCs w:val="24"/>
        </w:rPr>
        <w:t>City Deal</w:t>
      </w:r>
    </w:p>
    <w:p w:rsidR="00A429C6" w:rsidRPr="00A429C6" w:rsidRDefault="00A429C6" w:rsidP="00A429C6">
      <w:pPr>
        <w:spacing w:after="0"/>
        <w:rPr>
          <w:rFonts w:ascii="Arial" w:hAnsi="Arial" w:cs="Arial"/>
          <w:sz w:val="24"/>
          <w:szCs w:val="24"/>
        </w:rPr>
      </w:pPr>
      <w:r w:rsidRPr="00A429C6">
        <w:rPr>
          <w:rFonts w:ascii="Arial" w:hAnsi="Arial" w:cs="Arial"/>
          <w:sz w:val="24"/>
          <w:szCs w:val="24"/>
        </w:rPr>
        <w:t xml:space="preserve">GPF = </w:t>
      </w:r>
      <w:r w:rsidR="00F117F9">
        <w:rPr>
          <w:rFonts w:ascii="Arial" w:hAnsi="Arial" w:cs="Arial"/>
          <w:sz w:val="24"/>
          <w:szCs w:val="24"/>
        </w:rPr>
        <w:tab/>
      </w:r>
      <w:r w:rsidRPr="00A429C6">
        <w:rPr>
          <w:rFonts w:ascii="Arial" w:hAnsi="Arial" w:cs="Arial"/>
          <w:sz w:val="24"/>
          <w:szCs w:val="24"/>
        </w:rPr>
        <w:t>Growing Places Investment Fund</w:t>
      </w:r>
    </w:p>
    <w:p w:rsidR="002005C5" w:rsidRPr="002005C5" w:rsidRDefault="00A429C6" w:rsidP="00A429C6">
      <w:pPr>
        <w:spacing w:after="0"/>
        <w:rPr>
          <w:rFonts w:ascii="Arial" w:hAnsi="Arial" w:cs="Arial"/>
          <w:sz w:val="24"/>
          <w:szCs w:val="24"/>
        </w:rPr>
      </w:pPr>
      <w:r w:rsidRPr="00A429C6">
        <w:rPr>
          <w:rFonts w:ascii="Arial" w:hAnsi="Arial" w:cs="Arial"/>
          <w:sz w:val="24"/>
          <w:szCs w:val="24"/>
        </w:rPr>
        <w:t xml:space="preserve">EZ = </w:t>
      </w:r>
      <w:r w:rsidR="00F117F9">
        <w:rPr>
          <w:rFonts w:ascii="Arial" w:hAnsi="Arial" w:cs="Arial"/>
          <w:sz w:val="24"/>
          <w:szCs w:val="24"/>
        </w:rPr>
        <w:tab/>
      </w:r>
      <w:r w:rsidR="00F117F9">
        <w:rPr>
          <w:rFonts w:ascii="Arial" w:hAnsi="Arial" w:cs="Arial"/>
          <w:sz w:val="24"/>
          <w:szCs w:val="24"/>
        </w:rPr>
        <w:tab/>
      </w:r>
      <w:r w:rsidRPr="00A429C6">
        <w:rPr>
          <w:rFonts w:ascii="Arial" w:hAnsi="Arial" w:cs="Arial"/>
          <w:sz w:val="24"/>
          <w:szCs w:val="24"/>
        </w:rPr>
        <w:t>Enterprise Zone</w:t>
      </w:r>
    </w:p>
    <w:p w:rsidR="002005C5" w:rsidRPr="002005C5" w:rsidRDefault="002005C5" w:rsidP="002005C5">
      <w:pPr>
        <w:spacing w:after="0"/>
        <w:rPr>
          <w:rFonts w:ascii="Arial" w:hAnsi="Arial" w:cs="Arial"/>
          <w:sz w:val="24"/>
          <w:szCs w:val="24"/>
        </w:rPr>
      </w:pPr>
    </w:p>
    <w:p w:rsidR="002005C5" w:rsidRPr="002005C5" w:rsidRDefault="002005C5" w:rsidP="002005C5">
      <w:pPr>
        <w:spacing w:after="0"/>
        <w:rPr>
          <w:rFonts w:ascii="Arial" w:hAnsi="Arial" w:cs="Arial"/>
          <w:sz w:val="24"/>
          <w:szCs w:val="24"/>
        </w:rPr>
      </w:pPr>
    </w:p>
    <w:p w:rsidR="002005C5" w:rsidRPr="002005C5" w:rsidRDefault="002005C5" w:rsidP="002005C5">
      <w:pPr>
        <w:spacing w:after="0"/>
        <w:rPr>
          <w:rFonts w:ascii="Arial" w:hAnsi="Arial" w:cs="Arial"/>
          <w:sz w:val="24"/>
          <w:szCs w:val="24"/>
        </w:rPr>
      </w:pPr>
    </w:p>
    <w:p w:rsidR="002005C5" w:rsidRPr="002005C5" w:rsidRDefault="002005C5" w:rsidP="002005C5">
      <w:pPr>
        <w:spacing w:after="0"/>
        <w:rPr>
          <w:rFonts w:ascii="Arial" w:hAnsi="Arial" w:cs="Arial"/>
          <w:sz w:val="24"/>
          <w:szCs w:val="24"/>
        </w:rPr>
      </w:pPr>
    </w:p>
    <w:p w:rsidR="002005C5" w:rsidRPr="002005C5" w:rsidRDefault="002005C5" w:rsidP="002005C5">
      <w:pPr>
        <w:spacing w:after="0"/>
        <w:rPr>
          <w:rFonts w:ascii="Arial" w:hAnsi="Arial" w:cs="Arial"/>
          <w:sz w:val="24"/>
          <w:szCs w:val="24"/>
        </w:rPr>
      </w:pPr>
    </w:p>
    <w:p w:rsidR="002005C5" w:rsidRPr="002005C5" w:rsidRDefault="002005C5" w:rsidP="002005C5">
      <w:pPr>
        <w:spacing w:after="0"/>
        <w:rPr>
          <w:rFonts w:ascii="Arial" w:hAnsi="Arial" w:cs="Arial"/>
          <w:sz w:val="24"/>
          <w:szCs w:val="24"/>
        </w:rPr>
      </w:pPr>
    </w:p>
    <w:p w:rsidR="002005C5" w:rsidRPr="002005C5" w:rsidRDefault="002005C5" w:rsidP="002005C5">
      <w:pPr>
        <w:spacing w:after="0"/>
        <w:rPr>
          <w:rFonts w:ascii="Arial" w:hAnsi="Arial" w:cs="Arial"/>
          <w:sz w:val="24"/>
          <w:szCs w:val="24"/>
        </w:rPr>
      </w:pPr>
    </w:p>
    <w:p w:rsidR="002005C5" w:rsidRDefault="002005C5" w:rsidP="002005C5">
      <w:pPr>
        <w:spacing w:after="0"/>
        <w:rPr>
          <w:rFonts w:ascii="Arial" w:hAnsi="Arial" w:cs="Arial"/>
          <w:sz w:val="24"/>
          <w:szCs w:val="24"/>
        </w:rPr>
      </w:pPr>
    </w:p>
    <w:p w:rsidR="00A429C6" w:rsidRDefault="00A429C6" w:rsidP="002005C5">
      <w:pPr>
        <w:spacing w:after="0"/>
        <w:rPr>
          <w:rFonts w:ascii="Arial" w:hAnsi="Arial" w:cs="Arial"/>
          <w:sz w:val="24"/>
          <w:szCs w:val="24"/>
        </w:rPr>
      </w:pPr>
    </w:p>
    <w:p w:rsidR="00A429C6" w:rsidRDefault="00A429C6" w:rsidP="002005C5">
      <w:pPr>
        <w:spacing w:after="0"/>
        <w:rPr>
          <w:rFonts w:ascii="Arial" w:hAnsi="Arial" w:cs="Arial"/>
          <w:sz w:val="24"/>
          <w:szCs w:val="24"/>
        </w:rPr>
      </w:pPr>
    </w:p>
    <w:p w:rsidR="00A429C6" w:rsidRDefault="00A429C6" w:rsidP="002005C5">
      <w:pPr>
        <w:spacing w:after="0"/>
        <w:rPr>
          <w:rFonts w:ascii="Arial" w:hAnsi="Arial" w:cs="Arial"/>
          <w:sz w:val="24"/>
          <w:szCs w:val="24"/>
        </w:rPr>
      </w:pPr>
    </w:p>
    <w:p w:rsidR="00A429C6" w:rsidRDefault="00A429C6" w:rsidP="002005C5">
      <w:pPr>
        <w:spacing w:after="0"/>
        <w:rPr>
          <w:rFonts w:ascii="Arial" w:hAnsi="Arial" w:cs="Arial"/>
          <w:sz w:val="24"/>
          <w:szCs w:val="24"/>
        </w:rPr>
        <w:sectPr w:rsidR="00A429C6" w:rsidSect="00CD1ADD">
          <w:pgSz w:w="16838" w:h="11906" w:orient="landscape"/>
          <w:pgMar w:top="1440" w:right="1440" w:bottom="1440" w:left="1440" w:header="708" w:footer="708" w:gutter="0"/>
          <w:cols w:space="708"/>
          <w:docGrid w:linePitch="360"/>
        </w:sectPr>
      </w:pPr>
    </w:p>
    <w:p w:rsidR="00A429C6" w:rsidRDefault="00A429C6" w:rsidP="00A429C6">
      <w:pPr>
        <w:spacing w:after="0"/>
        <w:ind w:left="142" w:hanging="142"/>
        <w:rPr>
          <w:rFonts w:ascii="Arial" w:hAnsi="Arial" w:cs="Arial"/>
          <w:sz w:val="24"/>
          <w:szCs w:val="24"/>
        </w:rPr>
      </w:pPr>
      <w:r w:rsidRPr="00A429C6">
        <w:rPr>
          <w:rFonts w:ascii="Arial" w:hAnsi="Arial" w:cs="Arial"/>
          <w:b/>
          <w:sz w:val="24"/>
          <w:szCs w:val="24"/>
        </w:rPr>
        <w:lastRenderedPageBreak/>
        <w:t xml:space="preserve">LEP </w:t>
      </w:r>
      <w:r w:rsidR="005E4B5B">
        <w:rPr>
          <w:rFonts w:ascii="Arial" w:hAnsi="Arial" w:cs="Arial"/>
          <w:b/>
          <w:sz w:val="24"/>
          <w:szCs w:val="24"/>
        </w:rPr>
        <w:t xml:space="preserve">Core </w:t>
      </w:r>
      <w:r w:rsidRPr="00A429C6">
        <w:rPr>
          <w:rFonts w:ascii="Arial" w:hAnsi="Arial" w:cs="Arial"/>
          <w:b/>
          <w:sz w:val="24"/>
          <w:szCs w:val="24"/>
        </w:rPr>
        <w:t>Risk Map – September 2015</w:t>
      </w:r>
      <w:r w:rsidRPr="00A429C6">
        <w:rPr>
          <w:rFonts w:ascii="Arial" w:hAnsi="Arial" w:cs="Arial"/>
          <w:sz w:val="24"/>
          <w:szCs w:val="24"/>
        </w:rPr>
        <w:t xml:space="preserve"> </w:t>
      </w:r>
      <w:r w:rsidRPr="00A429C6">
        <w:rPr>
          <w:rFonts w:ascii="Arial" w:hAnsi="Arial" w:cs="Arial"/>
          <w:noProof/>
          <w:sz w:val="24"/>
          <w:szCs w:val="24"/>
          <w:lang w:eastAsia="en-GB"/>
        </w:rPr>
        <mc:AlternateContent>
          <mc:Choice Requires="wps">
            <w:drawing>
              <wp:anchor distT="45720" distB="45720" distL="114300" distR="114300" simplePos="0" relativeHeight="251671552" behindDoc="0" locked="0" layoutInCell="1" allowOverlap="1" wp14:anchorId="05007274" wp14:editId="7D338B87">
                <wp:simplePos x="0" y="0"/>
                <wp:positionH relativeFrom="column">
                  <wp:posOffset>6985561</wp:posOffset>
                </wp:positionH>
                <wp:positionV relativeFrom="paragraph">
                  <wp:posOffset>224790</wp:posOffset>
                </wp:positionV>
                <wp:extent cx="2604976" cy="3753293"/>
                <wp:effectExtent l="0" t="0" r="241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976" cy="3753293"/>
                        </a:xfrm>
                        <a:prstGeom prst="rect">
                          <a:avLst/>
                        </a:prstGeom>
                        <a:solidFill>
                          <a:srgbClr val="FFFFFF"/>
                        </a:solidFill>
                        <a:ln w="9525">
                          <a:solidFill>
                            <a:srgbClr val="000000"/>
                          </a:solidFill>
                          <a:miter lim="800000"/>
                          <a:headEnd/>
                          <a:tailEnd/>
                        </a:ln>
                      </wps:spPr>
                      <wps:txbx>
                        <w:txbxContent>
                          <w:p w:rsidR="005E4B5B" w:rsidRDefault="005E4B5B" w:rsidP="00A429C6">
                            <w:pPr>
                              <w:rPr>
                                <w:b/>
                                <w:sz w:val="24"/>
                              </w:rPr>
                            </w:pPr>
                            <w:r>
                              <w:rPr>
                                <w:b/>
                                <w:sz w:val="24"/>
                              </w:rPr>
                              <w:t>Core Risk</w:t>
                            </w:r>
                          </w:p>
                          <w:p w:rsidR="00A429C6" w:rsidRPr="00A429C6" w:rsidRDefault="00A429C6" w:rsidP="00A429C6">
                            <w:pPr>
                              <w:rPr>
                                <w:sz w:val="24"/>
                              </w:rPr>
                            </w:pPr>
                            <w:r w:rsidRPr="00A429C6">
                              <w:rPr>
                                <w:b/>
                                <w:sz w:val="24"/>
                              </w:rPr>
                              <w:t>5.</w:t>
                            </w:r>
                            <w:r w:rsidRPr="00A429C6">
                              <w:rPr>
                                <w:sz w:val="24"/>
                              </w:rPr>
                              <w:t xml:space="preserve"> Income from housing &amp; development streams not flowing as forecast</w:t>
                            </w:r>
                          </w:p>
                          <w:p w:rsidR="00A429C6" w:rsidRPr="00A429C6" w:rsidRDefault="00A429C6" w:rsidP="00A429C6">
                            <w:pPr>
                              <w:rPr>
                                <w:sz w:val="24"/>
                              </w:rPr>
                            </w:pPr>
                            <w:r w:rsidRPr="00A429C6">
                              <w:rPr>
                                <w:b/>
                                <w:sz w:val="24"/>
                              </w:rPr>
                              <w:t>6.</w:t>
                            </w:r>
                            <w:r w:rsidRPr="00A429C6">
                              <w:rPr>
                                <w:sz w:val="24"/>
                              </w:rPr>
                              <w:t xml:space="preserve"> Funding streams not aligned</w:t>
                            </w:r>
                          </w:p>
                          <w:p w:rsidR="00A429C6" w:rsidRPr="00A429C6" w:rsidRDefault="00A429C6" w:rsidP="00A429C6">
                            <w:pPr>
                              <w:rPr>
                                <w:sz w:val="24"/>
                              </w:rPr>
                            </w:pPr>
                            <w:r w:rsidRPr="00A429C6">
                              <w:rPr>
                                <w:b/>
                                <w:sz w:val="24"/>
                              </w:rPr>
                              <w:t>9</w:t>
                            </w:r>
                            <w:r w:rsidRPr="00A429C6">
                              <w:rPr>
                                <w:sz w:val="24"/>
                              </w:rPr>
                              <w:t>. Intended outcomes not achieved</w:t>
                            </w:r>
                          </w:p>
                          <w:p w:rsidR="00A429C6" w:rsidRPr="00A429C6" w:rsidRDefault="00A429C6" w:rsidP="00A429C6">
                            <w:pPr>
                              <w:rPr>
                                <w:sz w:val="24"/>
                              </w:rPr>
                            </w:pPr>
                            <w:r w:rsidRPr="00A429C6">
                              <w:rPr>
                                <w:b/>
                                <w:sz w:val="24"/>
                              </w:rPr>
                              <w:t>19.</w:t>
                            </w:r>
                            <w:r w:rsidRPr="00A429C6">
                              <w:rPr>
                                <w:sz w:val="24"/>
                              </w:rPr>
                              <w:t xml:space="preserve"> Procurement timescales impact on delivery</w:t>
                            </w:r>
                          </w:p>
                          <w:p w:rsidR="00A429C6" w:rsidRPr="00A429C6" w:rsidRDefault="00A429C6" w:rsidP="00A429C6">
                            <w:pPr>
                              <w:rPr>
                                <w:sz w:val="24"/>
                              </w:rPr>
                            </w:pPr>
                            <w:r w:rsidRPr="00A429C6">
                              <w:rPr>
                                <w:b/>
                                <w:sz w:val="24"/>
                              </w:rPr>
                              <w:t>22.</w:t>
                            </w:r>
                            <w:r w:rsidRPr="00A429C6">
                              <w:rPr>
                                <w:sz w:val="24"/>
                              </w:rPr>
                              <w:t xml:space="preserve"> Failure to identify underperformance</w:t>
                            </w:r>
                          </w:p>
                          <w:p w:rsidR="00A429C6" w:rsidRPr="00A429C6" w:rsidRDefault="00A429C6" w:rsidP="00A429C6">
                            <w:pPr>
                              <w:rPr>
                                <w:sz w:val="24"/>
                              </w:rPr>
                            </w:pPr>
                            <w:r w:rsidRPr="00A429C6">
                              <w:rPr>
                                <w:b/>
                                <w:sz w:val="24"/>
                              </w:rPr>
                              <w:t>26</w:t>
                            </w:r>
                            <w:r w:rsidRPr="00A429C6">
                              <w:rPr>
                                <w:sz w:val="24"/>
                              </w:rPr>
                              <w:t>. Change in government funding commitments</w:t>
                            </w:r>
                          </w:p>
                          <w:p w:rsidR="00A429C6" w:rsidRPr="00A429C6" w:rsidRDefault="00A429C6" w:rsidP="00A429C6">
                            <w:pPr>
                              <w:rPr>
                                <w:sz w:val="24"/>
                              </w:rPr>
                            </w:pPr>
                            <w:r w:rsidRPr="00A429C6">
                              <w:rPr>
                                <w:b/>
                                <w:sz w:val="24"/>
                              </w:rPr>
                              <w:t>30.</w:t>
                            </w:r>
                            <w:r w:rsidRPr="00A429C6">
                              <w:rPr>
                                <w:sz w:val="24"/>
                              </w:rPr>
                              <w:t xml:space="preserve"> Criticism of priorities &amp; objectives</w:t>
                            </w:r>
                          </w:p>
                          <w:p w:rsidR="00A429C6" w:rsidRPr="00A429C6" w:rsidRDefault="00A429C6" w:rsidP="00A429C6">
                            <w:pPr>
                              <w:rPr>
                                <w:sz w:val="24"/>
                              </w:rPr>
                            </w:pPr>
                            <w:r w:rsidRPr="00A429C6">
                              <w:rPr>
                                <w:sz w:val="24"/>
                              </w:rPr>
                              <w:t>(NB 6 and 19 can probably be combined)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07274" id="_x0000_t202" coordsize="21600,21600" o:spt="202" path="m,l,21600r21600,l21600,xe">
                <v:stroke joinstyle="miter"/>
                <v:path gradientshapeok="t" o:connecttype="rect"/>
              </v:shapetype>
              <v:shape id="Text Box 2" o:spid="_x0000_s1026" type="#_x0000_t202" style="position:absolute;left:0;text-align:left;margin-left:550.05pt;margin-top:17.7pt;width:205.1pt;height:295.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SHJQIAAEc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">
                <v:textbox>
                  <w:txbxContent>
                    <w:p w:rsidR="005E4B5B" w:rsidRDefault="005E4B5B" w:rsidP="00A429C6">
                      <w:pPr>
                        <w:rPr>
                          <w:b/>
                          <w:sz w:val="24"/>
                        </w:rPr>
                      </w:pPr>
                      <w:r>
                        <w:rPr>
                          <w:b/>
                          <w:sz w:val="24"/>
                        </w:rPr>
                        <w:t>Core Risk</w:t>
                      </w:r>
                    </w:p>
                    <w:p w:rsidR="00A429C6" w:rsidRPr="00A429C6" w:rsidRDefault="00A429C6" w:rsidP="00A429C6">
                      <w:pPr>
                        <w:rPr>
                          <w:sz w:val="24"/>
                        </w:rPr>
                      </w:pPr>
                      <w:r w:rsidRPr="00A429C6">
                        <w:rPr>
                          <w:b/>
                          <w:sz w:val="24"/>
                        </w:rPr>
                        <w:t>5.</w:t>
                      </w:r>
                      <w:r w:rsidRPr="00A429C6">
                        <w:rPr>
                          <w:sz w:val="24"/>
                        </w:rPr>
                        <w:t xml:space="preserve"> Income from housing &amp; development streams not flowing as forecast</w:t>
                      </w:r>
                    </w:p>
                    <w:p w:rsidR="00A429C6" w:rsidRPr="00A429C6" w:rsidRDefault="00A429C6" w:rsidP="00A429C6">
                      <w:pPr>
                        <w:rPr>
                          <w:sz w:val="24"/>
                        </w:rPr>
                      </w:pPr>
                      <w:r w:rsidRPr="00A429C6">
                        <w:rPr>
                          <w:b/>
                          <w:sz w:val="24"/>
                        </w:rPr>
                        <w:t>6.</w:t>
                      </w:r>
                      <w:r w:rsidRPr="00A429C6">
                        <w:rPr>
                          <w:sz w:val="24"/>
                        </w:rPr>
                        <w:t xml:space="preserve"> Funding streams not aligned</w:t>
                      </w:r>
                    </w:p>
                    <w:p w:rsidR="00A429C6" w:rsidRPr="00A429C6" w:rsidRDefault="00A429C6" w:rsidP="00A429C6">
                      <w:pPr>
                        <w:rPr>
                          <w:sz w:val="24"/>
                        </w:rPr>
                      </w:pPr>
                      <w:r w:rsidRPr="00A429C6">
                        <w:rPr>
                          <w:b/>
                          <w:sz w:val="24"/>
                        </w:rPr>
                        <w:t>9</w:t>
                      </w:r>
                      <w:r w:rsidRPr="00A429C6">
                        <w:rPr>
                          <w:sz w:val="24"/>
                        </w:rPr>
                        <w:t>. Intended outcomes not achieved</w:t>
                      </w:r>
                    </w:p>
                    <w:p w:rsidR="00A429C6" w:rsidRPr="00A429C6" w:rsidRDefault="00A429C6" w:rsidP="00A429C6">
                      <w:pPr>
                        <w:rPr>
                          <w:sz w:val="24"/>
                        </w:rPr>
                      </w:pPr>
                      <w:r w:rsidRPr="00A429C6">
                        <w:rPr>
                          <w:b/>
                          <w:sz w:val="24"/>
                        </w:rPr>
                        <w:t>19.</w:t>
                      </w:r>
                      <w:r w:rsidRPr="00A429C6">
                        <w:rPr>
                          <w:sz w:val="24"/>
                        </w:rPr>
                        <w:t xml:space="preserve"> Procurement timescales impact on delivery</w:t>
                      </w:r>
                    </w:p>
                    <w:p w:rsidR="00A429C6" w:rsidRPr="00A429C6" w:rsidRDefault="00A429C6" w:rsidP="00A429C6">
                      <w:pPr>
                        <w:rPr>
                          <w:sz w:val="24"/>
                        </w:rPr>
                      </w:pPr>
                      <w:r w:rsidRPr="00A429C6">
                        <w:rPr>
                          <w:b/>
                          <w:sz w:val="24"/>
                        </w:rPr>
                        <w:t>22.</w:t>
                      </w:r>
                      <w:r w:rsidRPr="00A429C6">
                        <w:rPr>
                          <w:sz w:val="24"/>
                        </w:rPr>
                        <w:t xml:space="preserve"> Failure to identify underperformance</w:t>
                      </w:r>
                    </w:p>
                    <w:p w:rsidR="00A429C6" w:rsidRPr="00A429C6" w:rsidRDefault="00A429C6" w:rsidP="00A429C6">
                      <w:pPr>
                        <w:rPr>
                          <w:sz w:val="24"/>
                        </w:rPr>
                      </w:pPr>
                      <w:r w:rsidRPr="00A429C6">
                        <w:rPr>
                          <w:b/>
                          <w:sz w:val="24"/>
                        </w:rPr>
                        <w:t>26</w:t>
                      </w:r>
                      <w:r w:rsidRPr="00A429C6">
                        <w:rPr>
                          <w:sz w:val="24"/>
                        </w:rPr>
                        <w:t>. Change in government funding commitments</w:t>
                      </w:r>
                    </w:p>
                    <w:p w:rsidR="00A429C6" w:rsidRPr="00A429C6" w:rsidRDefault="00A429C6" w:rsidP="00A429C6">
                      <w:pPr>
                        <w:rPr>
                          <w:sz w:val="24"/>
                        </w:rPr>
                      </w:pPr>
                      <w:r w:rsidRPr="00A429C6">
                        <w:rPr>
                          <w:b/>
                          <w:sz w:val="24"/>
                        </w:rPr>
                        <w:t>30.</w:t>
                      </w:r>
                      <w:r w:rsidRPr="00A429C6">
                        <w:rPr>
                          <w:sz w:val="24"/>
                        </w:rPr>
                        <w:t xml:space="preserve"> Criticism of priorities &amp; objectives</w:t>
                      </w:r>
                    </w:p>
                    <w:p w:rsidR="00A429C6" w:rsidRPr="00A429C6" w:rsidRDefault="00A429C6" w:rsidP="00A429C6">
                      <w:pPr>
                        <w:rPr>
                          <w:sz w:val="24"/>
                        </w:rPr>
                      </w:pPr>
                      <w:r w:rsidRPr="00A429C6">
                        <w:rPr>
                          <w:sz w:val="24"/>
                        </w:rPr>
                        <w:t>(NB 6 and 19 can probably be combined)</w:t>
                      </w:r>
                    </w:p>
                  </w:txbxContent>
                </v:textbox>
              </v:shape>
            </w:pict>
          </mc:Fallback>
        </mc:AlternateContent>
      </w:r>
    </w:p>
    <w:tbl>
      <w:tblPr>
        <w:tblStyle w:val="DefaultTable"/>
        <w:tblW w:w="0" w:type="auto"/>
        <w:tblInd w:w="-572" w:type="dxa"/>
        <w:tblLook w:val="0000" w:firstRow="0" w:lastRow="0" w:firstColumn="0" w:lastColumn="0" w:noHBand="0" w:noVBand="0"/>
      </w:tblPr>
      <w:tblGrid>
        <w:gridCol w:w="568"/>
        <w:gridCol w:w="680"/>
        <w:gridCol w:w="680"/>
        <w:gridCol w:w="680"/>
        <w:gridCol w:w="680"/>
        <w:gridCol w:w="680"/>
        <w:gridCol w:w="680"/>
        <w:gridCol w:w="680"/>
        <w:gridCol w:w="680"/>
        <w:gridCol w:w="680"/>
        <w:gridCol w:w="680"/>
        <w:gridCol w:w="680"/>
        <w:gridCol w:w="680"/>
        <w:gridCol w:w="680"/>
        <w:gridCol w:w="680"/>
        <w:gridCol w:w="680"/>
        <w:gridCol w:w="680"/>
      </w:tblGrid>
      <w:tr w:rsidR="00A429C6" w:rsidTr="009C3D13">
        <w:trPr>
          <w:trHeight w:val="560"/>
        </w:trPr>
        <w:tc>
          <w:tcPr>
            <w:tcW w:w="568" w:type="dxa"/>
            <w:vMerge w:val="restart"/>
            <w:tcBorders>
              <w:top w:val="single" w:sz="4" w:space="0" w:color="FFFFFF"/>
              <w:left w:val="single" w:sz="4" w:space="0" w:color="FFFFFF"/>
              <w:bottom w:val="single" w:sz="4" w:space="0" w:color="000000"/>
              <w:right w:val="single" w:sz="4" w:space="0" w:color="000000"/>
            </w:tcBorders>
            <w:tcMar>
              <w:top w:w="0" w:type="dxa"/>
              <w:left w:w="99" w:type="dxa"/>
              <w:bottom w:w="0" w:type="dxa"/>
              <w:right w:w="99" w:type="dxa"/>
            </w:tcMar>
            <w:textDirection w:val="btLr"/>
            <w:vAlign w:val="center"/>
          </w:tcPr>
          <w:p w:rsidR="00A429C6" w:rsidRDefault="00A429C6" w:rsidP="00ED31C4">
            <w:pPr>
              <w:pStyle w:val="ParaAttribute0"/>
              <w:rPr>
                <w:rFonts w:ascii="Calibri" w:eastAsia="Calibri" w:hAnsi="Calibri"/>
              </w:rPr>
            </w:pPr>
            <w:r>
              <w:rPr>
                <w:rStyle w:val="CharAttribute1"/>
                <w:szCs w:val="28"/>
              </w:rPr>
              <w:t>Impact</w:t>
            </w:r>
          </w:p>
        </w:tc>
        <w:tc>
          <w:tcPr>
            <w:tcW w:w="680" w:type="dxa"/>
            <w:tcBorders>
              <w:top w:val="single" w:sz="4" w:space="0" w:color="D9D9D9"/>
              <w:left w:val="single" w:sz="4" w:space="0" w:color="000000"/>
              <w:bottom w:val="single" w:sz="4" w:space="0" w:color="D9D9D9"/>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D9D9D9"/>
              <w:left w:val="single" w:sz="4" w:space="0" w:color="000000"/>
              <w:bottom w:val="single" w:sz="4" w:space="0" w:color="D9D9D9"/>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D9D9D9"/>
              <w:left w:val="single" w:sz="4" w:space="0" w:color="000000"/>
              <w:bottom w:val="single" w:sz="4" w:space="0" w:color="D9D9D9"/>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D9D9D9"/>
              <w:left w:val="single" w:sz="4" w:space="0" w:color="000000"/>
              <w:bottom w:val="single" w:sz="4" w:space="0" w:color="D9D9D9"/>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D9D9D9"/>
              <w:left w:val="single" w:sz="4" w:space="0" w:color="000000"/>
              <w:bottom w:val="single" w:sz="4" w:space="0" w:color="D9D9D9"/>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r>
              <w:rPr>
                <w:rFonts w:ascii="Calibri" w:eastAsia="Calibri" w:hAnsi="Calibri"/>
                <w:noProof/>
                <w:sz w:val="16"/>
                <w:szCs w:val="16"/>
                <w:lang w:eastAsia="en-GB"/>
              </w:rPr>
              <mc:AlternateContent>
                <mc:Choice Requires="wps">
                  <w:drawing>
                    <wp:anchor distT="0" distB="0" distL="114300" distR="114300" simplePos="0" relativeHeight="251668480" behindDoc="0" locked="0" layoutInCell="1" allowOverlap="1" wp14:anchorId="57D69D8D" wp14:editId="5F671631">
                      <wp:simplePos x="0" y="0"/>
                      <wp:positionH relativeFrom="column">
                        <wp:posOffset>332740</wp:posOffset>
                      </wp:positionH>
                      <wp:positionV relativeFrom="paragraph">
                        <wp:posOffset>336550</wp:posOffset>
                      </wp:positionV>
                      <wp:extent cx="609600" cy="609600"/>
                      <wp:effectExtent l="9525" t="10160" r="9525" b="8890"/>
                      <wp:wrapNone/>
                      <wp:docPr id="1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5B9BD5"/>
                              </a:solidFill>
                              <a:ln w="12700">
                                <a:solidFill>
                                  <a:srgbClr val="41719C"/>
                                </a:solidFill>
                                <a:miter lim="800000"/>
                                <a:headEnd/>
                                <a:tailEnd/>
                              </a:ln>
                            </wps:spPr>
                            <wps:txbx>
                              <w:txbxContent>
                                <w:p w:rsidR="00A429C6" w:rsidRDefault="00A429C6" w:rsidP="00A429C6">
                                  <w:pPr>
                                    <w:pStyle w:val="ParaAttribute4"/>
                                    <w:jc w:val="center"/>
                                  </w:pPr>
                                  <w:r>
                                    <w:rPr>
                                      <w:rStyle w:val="CharAttribute10"/>
                                      <w:szCs w:val="36"/>
                                    </w:rPr>
                                    <w:t>5</w:t>
                                  </w:r>
                                </w:p>
                              </w:txbxContent>
                            </wps:txbx>
                            <wps:bodyPr rot="0" vert="horz" wrap="square" lIns="2" tIns="2" rIns="2" bIns="3"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7D69D8D" id="Oval 9" o:spid="_x0000_s1027" style="position:absolute;margin-left:26.2pt;margin-top:26.5pt;width:48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" fillcolor="#5b9bd5" strokecolor="#41719c" strokeweight="1pt">
                      <v:stroke joinstyle="miter"/>
                      <v:textbox inset="6e-5mm,6e-5mm,6e-5mm,8e-5mm">
                        <w:txbxContent>
                          <w:p w:rsidR="00A429C6" w:rsidRDefault="00A429C6" w:rsidP="00A429C6">
                            <w:pPr>
                              <w:pStyle w:val="ParaAttribute4"/>
                              <w:jc w:val="center"/>
                            </w:pPr>
                            <w:r>
                              <w:rPr>
                                <w:rStyle w:val="CharAttribute10"/>
                                <w:szCs w:val="36"/>
                              </w:rPr>
                              <w:t>5</w:t>
                            </w:r>
                          </w:p>
                        </w:txbxContent>
                      </v:textbox>
                    </v:oval>
                  </w:pict>
                </mc:Fallback>
              </mc:AlternateContent>
            </w:r>
          </w:p>
        </w:tc>
        <w:tc>
          <w:tcPr>
            <w:tcW w:w="680" w:type="dxa"/>
            <w:tcBorders>
              <w:top w:val="single" w:sz="4" w:space="0" w:color="D9D9D9"/>
              <w:left w:val="single" w:sz="4" w:space="0" w:color="000000"/>
              <w:bottom w:val="single" w:sz="4" w:space="0" w:color="D9D9D9"/>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D9D9D9"/>
              <w:left w:val="single" w:sz="4" w:space="0" w:color="000000"/>
              <w:bottom w:val="single" w:sz="4" w:space="0" w:color="D9D9D9"/>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D9D9D9"/>
              <w:left w:val="single" w:sz="4" w:space="0" w:color="000000"/>
              <w:bottom w:val="single" w:sz="4" w:space="0" w:color="D9D9D9"/>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D9D9D9"/>
              <w:left w:val="single" w:sz="4" w:space="0" w:color="000000"/>
              <w:bottom w:val="single" w:sz="4" w:space="0" w:color="D9D9D9"/>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D9D9D9"/>
              <w:left w:val="single" w:sz="4" w:space="0" w:color="000000"/>
              <w:bottom w:val="single" w:sz="4" w:space="0" w:color="D9D9D9"/>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D9D9D9"/>
              <w:left w:val="single" w:sz="4" w:space="0" w:color="000000"/>
              <w:bottom w:val="single" w:sz="4" w:space="0" w:color="D9D9D9"/>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D9D9D9"/>
              <w:left w:val="single" w:sz="4" w:space="0" w:color="000000"/>
              <w:bottom w:val="single" w:sz="4" w:space="0" w:color="D9D9D9"/>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D9D9D9"/>
              <w:left w:val="single" w:sz="4" w:space="0" w:color="000000"/>
              <w:bottom w:val="single" w:sz="4" w:space="0" w:color="D9D9D9"/>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D9D9D9"/>
              <w:left w:val="single" w:sz="4" w:space="0" w:color="000000"/>
              <w:bottom w:val="single" w:sz="4" w:space="0" w:color="D9D9D9"/>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D9D9D9"/>
              <w:left w:val="single" w:sz="4" w:space="0" w:color="000000"/>
              <w:bottom w:val="single" w:sz="4" w:space="0" w:color="D9D9D9"/>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D9D9D9"/>
              <w:left w:val="single" w:sz="4" w:space="0" w:color="000000"/>
              <w:bottom w:val="single" w:sz="4" w:space="0" w:color="D9D9D9"/>
              <w:right w:val="single" w:sz="4" w:space="0" w:color="D9D9D9"/>
            </w:tcBorders>
            <w:tcMar>
              <w:top w:w="0" w:type="dxa"/>
              <w:left w:w="99" w:type="dxa"/>
              <w:bottom w:w="0" w:type="dxa"/>
              <w:right w:w="99" w:type="dxa"/>
            </w:tcMar>
          </w:tcPr>
          <w:p w:rsidR="00A429C6" w:rsidRDefault="00A429C6" w:rsidP="00ED31C4">
            <w:pPr>
              <w:pStyle w:val="ParaAttribute1"/>
              <w:rPr>
                <w:rFonts w:ascii="Calibri" w:eastAsia="Calibri" w:hAnsi="Calibri"/>
              </w:rPr>
            </w:pPr>
            <w:r>
              <w:rPr>
                <w:rFonts w:ascii="Calibri" w:eastAsia="Calibri" w:hAnsi="Calibri"/>
                <w:noProof/>
                <w:sz w:val="22"/>
                <w:szCs w:val="22"/>
                <w:lang w:eastAsia="en-GB"/>
              </w:rPr>
              <mc:AlternateContent>
                <mc:Choice Requires="wps">
                  <w:drawing>
                    <wp:anchor distT="0" distB="0" distL="114300" distR="114300" simplePos="0" relativeHeight="251661312" behindDoc="0" locked="0" layoutInCell="1" allowOverlap="1" wp14:anchorId="10CB4C31" wp14:editId="6236A6FA">
                      <wp:simplePos x="0" y="0"/>
                      <wp:positionH relativeFrom="column">
                        <wp:posOffset>0</wp:posOffset>
                      </wp:positionH>
                      <wp:positionV relativeFrom="paragraph">
                        <wp:posOffset>0</wp:posOffset>
                      </wp:positionV>
                      <wp:extent cx="635000" cy="635000"/>
                      <wp:effectExtent l="9525" t="9525" r="12700" b="12700"/>
                      <wp:wrapNone/>
                      <wp:docPr id="10"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5042B" id="Text Box 11"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jky5eMgIAAF4EAAAOAAAAAAAAAAAAAAAAAC4CAABkcnMv&#10;ZTJvRG9jLnhtbFBLAQItABQABgAIAAAAIQCOoHPl1wAAAAUBAAAPAAAAAAAAAAAAAAAAAIwEAABk&#10;cnMvZG93bnJldi54bWxQSwUGAAAAAAQABADzAAAAkAUAAAAA&#10;">
                      <o:lock v:ext="edit" selection="t"/>
                    </v:shape>
                  </w:pict>
                </mc:Fallback>
              </mc:AlternateContent>
            </w:r>
          </w:p>
        </w:tc>
      </w:tr>
      <w:tr w:rsidR="00A429C6" w:rsidTr="009C3D13">
        <w:trPr>
          <w:trHeight w:val="560"/>
        </w:trPr>
        <w:tc>
          <w:tcPr>
            <w:tcW w:w="568" w:type="dxa"/>
            <w:vMerge/>
            <w:tcBorders>
              <w:top w:val="single" w:sz="4" w:space="0" w:color="FFFFFF"/>
              <w:left w:val="single" w:sz="4" w:space="0" w:color="FFFFFF"/>
              <w:bottom w:val="single" w:sz="4" w:space="0" w:color="000000"/>
              <w:right w:val="single" w:sz="4" w:space="0" w:color="000000"/>
            </w:tcBorders>
          </w:tcPr>
          <w:p w:rsidR="00A429C6" w:rsidRDefault="00A429C6" w:rsidP="00ED31C4"/>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4"/>
              <w:rPr>
                <w:rFonts w:ascii="Tahoma" w:eastAsia="Tahoma" w:hAnsi="Tahoma"/>
              </w:rPr>
            </w:pPr>
          </w:p>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r>
              <w:rPr>
                <w:rFonts w:ascii="Calibri" w:eastAsia="Calibri" w:hAnsi="Calibri"/>
                <w:noProof/>
                <w:sz w:val="16"/>
                <w:szCs w:val="16"/>
                <w:lang w:eastAsia="en-GB"/>
              </w:rPr>
              <mc:AlternateContent>
                <mc:Choice Requires="wps">
                  <w:drawing>
                    <wp:anchor distT="0" distB="0" distL="114300" distR="114300" simplePos="0" relativeHeight="251666432" behindDoc="0" locked="0" layoutInCell="1" allowOverlap="1" wp14:anchorId="1A41B72E" wp14:editId="661D132F">
                      <wp:simplePos x="0" y="0"/>
                      <wp:positionH relativeFrom="column">
                        <wp:posOffset>25400</wp:posOffset>
                      </wp:positionH>
                      <wp:positionV relativeFrom="paragraph">
                        <wp:posOffset>38100</wp:posOffset>
                      </wp:positionV>
                      <wp:extent cx="609600" cy="609600"/>
                      <wp:effectExtent l="6985" t="11430" r="12065" b="762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5B9BD5"/>
                              </a:solidFill>
                              <a:ln w="12700">
                                <a:solidFill>
                                  <a:srgbClr val="41719C"/>
                                </a:solidFill>
                                <a:miter lim="800000"/>
                                <a:headEnd/>
                                <a:tailEnd/>
                              </a:ln>
                            </wps:spPr>
                            <wps:txbx>
                              <w:txbxContent>
                                <w:p w:rsidR="00A429C6" w:rsidRDefault="00A429C6" w:rsidP="00A429C6">
                                  <w:pPr>
                                    <w:pStyle w:val="ParaAttribute4"/>
                                    <w:jc w:val="center"/>
                                    <w:rPr>
                                      <w:rFonts w:ascii="Tahoma" w:eastAsia="Tahoma" w:hAnsi="Tahoma"/>
                                    </w:rPr>
                                  </w:pPr>
                                  <w:r>
                                    <w:rPr>
                                      <w:rStyle w:val="CharAttribute10"/>
                                      <w:szCs w:val="36"/>
                                    </w:rPr>
                                    <w:t>9</w:t>
                                  </w:r>
                                </w:p>
                              </w:txbxContent>
                            </wps:txbx>
                            <wps:bodyPr rot="0" vert="horz" wrap="square" lIns="2" tIns="2" rIns="2" bIns="3"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41B72E" id="Oval 8" o:spid="_x0000_s1028" style="position:absolute;margin-left:2pt;margin-top:3pt;width:48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" fillcolor="#5b9bd5" strokecolor="#41719c" strokeweight="1pt">
                      <v:stroke joinstyle="miter"/>
                      <v:textbox inset="6e-5mm,6e-5mm,6e-5mm,8e-5mm">
                        <w:txbxContent>
                          <w:p w:rsidR="00A429C6" w:rsidRDefault="00A429C6" w:rsidP="00A429C6">
                            <w:pPr>
                              <w:pStyle w:val="ParaAttribute4"/>
                              <w:jc w:val="center"/>
                              <w:rPr>
                                <w:rFonts w:ascii="Tahoma" w:eastAsia="Tahoma" w:hAnsi="Tahoma"/>
                              </w:rPr>
                            </w:pPr>
                            <w:r>
                              <w:rPr>
                                <w:rStyle w:val="CharAttribute10"/>
                                <w:szCs w:val="36"/>
                              </w:rPr>
                              <w:t>9</w:t>
                            </w:r>
                          </w:p>
                        </w:txbxContent>
                      </v:textbox>
                    </v:oval>
                  </w:pict>
                </mc:Fallback>
              </mc:AlternateConten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D9D9D9"/>
            </w:tcBorders>
            <w:tcMar>
              <w:top w:w="0" w:type="dxa"/>
              <w:left w:w="99" w:type="dxa"/>
              <w:bottom w:w="0" w:type="dxa"/>
              <w:right w:w="99" w:type="dxa"/>
            </w:tcMar>
          </w:tcPr>
          <w:p w:rsidR="00A429C6" w:rsidRDefault="00A429C6" w:rsidP="00ED31C4">
            <w:pPr>
              <w:pStyle w:val="ParaAttribute1"/>
              <w:rPr>
                <w:rFonts w:ascii="Calibri" w:eastAsia="Calibri" w:hAnsi="Calibri"/>
              </w:rPr>
            </w:pPr>
          </w:p>
        </w:tc>
      </w:tr>
      <w:tr w:rsidR="00A429C6" w:rsidTr="009C3D13">
        <w:trPr>
          <w:trHeight w:val="560"/>
        </w:trPr>
        <w:tc>
          <w:tcPr>
            <w:tcW w:w="568" w:type="dxa"/>
            <w:vMerge/>
            <w:tcBorders>
              <w:top w:val="single" w:sz="4" w:space="0" w:color="FFFFFF"/>
              <w:left w:val="single" w:sz="4" w:space="0" w:color="FFFFFF"/>
              <w:bottom w:val="single" w:sz="4" w:space="0" w:color="000000"/>
              <w:right w:val="single" w:sz="4" w:space="0" w:color="000000"/>
            </w:tcBorders>
          </w:tcPr>
          <w:p w:rsidR="00A429C6" w:rsidRDefault="00A429C6" w:rsidP="00ED31C4"/>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D9D9D9"/>
            </w:tcBorders>
            <w:tcMar>
              <w:top w:w="0" w:type="dxa"/>
              <w:left w:w="99" w:type="dxa"/>
              <w:bottom w:w="0" w:type="dxa"/>
              <w:right w:w="99" w:type="dxa"/>
            </w:tcMar>
          </w:tcPr>
          <w:p w:rsidR="00A429C6" w:rsidRDefault="00A429C6" w:rsidP="00ED31C4">
            <w:pPr>
              <w:pStyle w:val="ParaAttribute1"/>
              <w:rPr>
                <w:rFonts w:ascii="Calibri" w:eastAsia="Calibri" w:hAnsi="Calibri"/>
              </w:rPr>
            </w:pPr>
          </w:p>
        </w:tc>
      </w:tr>
      <w:tr w:rsidR="00A429C6" w:rsidTr="009C3D13">
        <w:trPr>
          <w:trHeight w:val="560"/>
        </w:trPr>
        <w:tc>
          <w:tcPr>
            <w:tcW w:w="568" w:type="dxa"/>
            <w:vMerge/>
            <w:tcBorders>
              <w:top w:val="single" w:sz="4" w:space="0" w:color="FFFFFF"/>
              <w:left w:val="single" w:sz="4" w:space="0" w:color="FFFFFF"/>
              <w:bottom w:val="single" w:sz="4" w:space="0" w:color="000000"/>
              <w:right w:val="single" w:sz="4" w:space="0" w:color="000000"/>
            </w:tcBorders>
          </w:tcPr>
          <w:p w:rsidR="00A429C6" w:rsidRDefault="00A429C6" w:rsidP="00ED31C4"/>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D9D9D9"/>
            </w:tcBorders>
            <w:tcMar>
              <w:top w:w="0" w:type="dxa"/>
              <w:left w:w="99" w:type="dxa"/>
              <w:bottom w:w="0" w:type="dxa"/>
              <w:right w:w="99" w:type="dxa"/>
            </w:tcMar>
          </w:tcPr>
          <w:p w:rsidR="00A429C6" w:rsidRDefault="00A429C6" w:rsidP="00ED31C4">
            <w:pPr>
              <w:pStyle w:val="ParaAttribute1"/>
              <w:rPr>
                <w:rFonts w:ascii="Calibri" w:eastAsia="Calibri" w:hAnsi="Calibri"/>
              </w:rPr>
            </w:pPr>
          </w:p>
        </w:tc>
      </w:tr>
      <w:tr w:rsidR="00A429C6" w:rsidTr="009C3D13">
        <w:trPr>
          <w:trHeight w:val="560"/>
        </w:trPr>
        <w:tc>
          <w:tcPr>
            <w:tcW w:w="568" w:type="dxa"/>
            <w:vMerge/>
            <w:tcBorders>
              <w:top w:val="single" w:sz="4" w:space="0" w:color="FFFFFF"/>
              <w:left w:val="single" w:sz="4" w:space="0" w:color="FFFFFF"/>
              <w:bottom w:val="single" w:sz="4" w:space="0" w:color="000000"/>
              <w:right w:val="single" w:sz="4" w:space="0" w:color="000000"/>
            </w:tcBorders>
          </w:tcPr>
          <w:p w:rsidR="00A429C6" w:rsidRDefault="00A429C6" w:rsidP="00ED31C4"/>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D9D9D9"/>
            </w:tcBorders>
            <w:tcMar>
              <w:top w:w="0" w:type="dxa"/>
              <w:left w:w="99" w:type="dxa"/>
              <w:bottom w:w="0" w:type="dxa"/>
              <w:right w:w="99" w:type="dxa"/>
            </w:tcMar>
          </w:tcPr>
          <w:p w:rsidR="00A429C6" w:rsidRDefault="00A429C6" w:rsidP="00ED31C4">
            <w:pPr>
              <w:pStyle w:val="ParaAttribute1"/>
              <w:rPr>
                <w:rFonts w:ascii="Calibri" w:eastAsia="Calibri" w:hAnsi="Calibri"/>
              </w:rPr>
            </w:pPr>
          </w:p>
        </w:tc>
      </w:tr>
      <w:tr w:rsidR="00A429C6" w:rsidTr="009C3D13">
        <w:trPr>
          <w:trHeight w:val="560"/>
        </w:trPr>
        <w:tc>
          <w:tcPr>
            <w:tcW w:w="568" w:type="dxa"/>
            <w:vMerge/>
            <w:tcBorders>
              <w:top w:val="single" w:sz="4" w:space="0" w:color="FFFFFF"/>
              <w:left w:val="single" w:sz="4" w:space="0" w:color="FFFFFF"/>
              <w:bottom w:val="single" w:sz="4" w:space="0" w:color="000000"/>
              <w:right w:val="single" w:sz="4" w:space="0" w:color="000000"/>
            </w:tcBorders>
          </w:tcPr>
          <w:p w:rsidR="00A429C6" w:rsidRDefault="00A429C6" w:rsidP="00ED31C4"/>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r>
              <w:rPr>
                <w:rFonts w:ascii="Calibri" w:eastAsia="Calibri" w:hAnsi="Calibri"/>
                <w:noProof/>
                <w:sz w:val="16"/>
                <w:szCs w:val="16"/>
                <w:lang w:eastAsia="en-GB"/>
              </w:rPr>
              <mc:AlternateContent>
                <mc:Choice Requires="wps">
                  <w:drawing>
                    <wp:anchor distT="0" distB="0" distL="114300" distR="114300" simplePos="0" relativeHeight="251663360" behindDoc="0" locked="0" layoutInCell="1" allowOverlap="1" wp14:anchorId="0475EA1D" wp14:editId="3AA30D90">
                      <wp:simplePos x="0" y="0"/>
                      <wp:positionH relativeFrom="column">
                        <wp:posOffset>243840</wp:posOffset>
                      </wp:positionH>
                      <wp:positionV relativeFrom="paragraph">
                        <wp:posOffset>219075</wp:posOffset>
                      </wp:positionV>
                      <wp:extent cx="609600" cy="609600"/>
                      <wp:effectExtent l="9525" t="10160" r="9525" b="889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5B9BD5"/>
                              </a:solidFill>
                              <a:ln w="12700">
                                <a:solidFill>
                                  <a:srgbClr val="41719C"/>
                                </a:solidFill>
                                <a:miter lim="800000"/>
                                <a:headEnd/>
                                <a:tailEnd/>
                              </a:ln>
                            </wps:spPr>
                            <wps:txbx>
                              <w:txbxContent>
                                <w:p w:rsidR="00A429C6" w:rsidRDefault="00A429C6" w:rsidP="00A429C6">
                                  <w:pPr>
                                    <w:pStyle w:val="ParaAttribute4"/>
                                    <w:jc w:val="center"/>
                                    <w:rPr>
                                      <w:rFonts w:ascii="Tahoma" w:eastAsia="Tahoma" w:hAnsi="Tahoma"/>
                                    </w:rPr>
                                  </w:pPr>
                                  <w:r>
                                    <w:rPr>
                                      <w:rStyle w:val="CharAttribute10"/>
                                      <w:szCs w:val="36"/>
                                    </w:rPr>
                                    <w:t>22</w:t>
                                  </w:r>
                                </w:p>
                              </w:txbxContent>
                            </wps:txbx>
                            <wps:bodyPr rot="0" vert="horz" wrap="square" lIns="2" tIns="2" rIns="2" bIns="3"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75EA1D" id="Oval 4" o:spid="_x0000_s1029" style="position:absolute;margin-left:19.2pt;margin-top:17.25pt;width:48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" fillcolor="#5b9bd5" strokecolor="#41719c" strokeweight="1pt">
                      <v:stroke joinstyle="miter"/>
                      <v:textbox inset="6e-5mm,6e-5mm,6e-5mm,8e-5mm">
                        <w:txbxContent>
                          <w:p w:rsidR="00A429C6" w:rsidRDefault="00A429C6" w:rsidP="00A429C6">
                            <w:pPr>
                              <w:pStyle w:val="ParaAttribute4"/>
                              <w:jc w:val="center"/>
                              <w:rPr>
                                <w:rFonts w:ascii="Tahoma" w:eastAsia="Tahoma" w:hAnsi="Tahoma"/>
                              </w:rPr>
                            </w:pPr>
                            <w:r>
                              <w:rPr>
                                <w:rStyle w:val="CharAttribute10"/>
                                <w:szCs w:val="36"/>
                              </w:rPr>
                              <w:t>22</w:t>
                            </w:r>
                          </w:p>
                        </w:txbxContent>
                      </v:textbox>
                    </v:oval>
                  </w:pict>
                </mc:Fallback>
              </mc:AlternateConten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D9D9D9"/>
            </w:tcBorders>
            <w:tcMar>
              <w:top w:w="0" w:type="dxa"/>
              <w:left w:w="99" w:type="dxa"/>
              <w:bottom w:w="0" w:type="dxa"/>
              <w:right w:w="99" w:type="dxa"/>
            </w:tcMar>
          </w:tcPr>
          <w:p w:rsidR="00A429C6" w:rsidRDefault="00A429C6" w:rsidP="00ED31C4">
            <w:pPr>
              <w:pStyle w:val="ParaAttribute1"/>
              <w:rPr>
                <w:rFonts w:ascii="Calibri" w:eastAsia="Calibri" w:hAnsi="Calibri"/>
              </w:rPr>
            </w:pPr>
          </w:p>
        </w:tc>
      </w:tr>
      <w:tr w:rsidR="00A429C6" w:rsidTr="009C3D13">
        <w:trPr>
          <w:trHeight w:val="560"/>
        </w:trPr>
        <w:tc>
          <w:tcPr>
            <w:tcW w:w="568" w:type="dxa"/>
            <w:vMerge/>
            <w:tcBorders>
              <w:top w:val="single" w:sz="4" w:space="0" w:color="FFFFFF"/>
              <w:left w:val="single" w:sz="4" w:space="0" w:color="FFFFFF"/>
              <w:bottom w:val="single" w:sz="4" w:space="0" w:color="000000"/>
              <w:right w:val="single" w:sz="4" w:space="0" w:color="000000"/>
            </w:tcBorders>
          </w:tcPr>
          <w:p w:rsidR="00A429C6" w:rsidRDefault="00A429C6" w:rsidP="00ED31C4"/>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r>
              <w:rPr>
                <w:rFonts w:ascii="Calibri" w:eastAsia="Calibri" w:hAnsi="Calibri"/>
                <w:noProof/>
                <w:sz w:val="16"/>
                <w:szCs w:val="16"/>
                <w:lang w:eastAsia="en-GB"/>
              </w:rPr>
              <mc:AlternateContent>
                <mc:Choice Requires="wps">
                  <w:drawing>
                    <wp:anchor distT="0" distB="0" distL="114300" distR="114300" simplePos="0" relativeHeight="251665408" behindDoc="0" locked="0" layoutInCell="1" allowOverlap="1" wp14:anchorId="1C4C1B8A" wp14:editId="2EC948E3">
                      <wp:simplePos x="0" y="0"/>
                      <wp:positionH relativeFrom="column">
                        <wp:posOffset>307340</wp:posOffset>
                      </wp:positionH>
                      <wp:positionV relativeFrom="paragraph">
                        <wp:posOffset>309880</wp:posOffset>
                      </wp:positionV>
                      <wp:extent cx="609600" cy="609600"/>
                      <wp:effectExtent l="9525" t="10160" r="9525" b="8890"/>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5B9BD5"/>
                              </a:solidFill>
                              <a:ln w="12700">
                                <a:solidFill>
                                  <a:srgbClr val="41719C"/>
                                </a:solidFill>
                                <a:miter lim="800000"/>
                                <a:headEnd/>
                                <a:tailEnd/>
                              </a:ln>
                            </wps:spPr>
                            <wps:txbx>
                              <w:txbxContent>
                                <w:p w:rsidR="00A429C6" w:rsidRDefault="00A429C6" w:rsidP="00A429C6">
                                  <w:pPr>
                                    <w:pStyle w:val="ParaAttribute4"/>
                                    <w:jc w:val="center"/>
                                    <w:rPr>
                                      <w:rFonts w:ascii="Tahoma" w:eastAsia="Tahoma" w:hAnsi="Tahoma"/>
                                    </w:rPr>
                                  </w:pPr>
                                  <w:r>
                                    <w:rPr>
                                      <w:rStyle w:val="CharAttribute10"/>
                                      <w:szCs w:val="36"/>
                                    </w:rPr>
                                    <w:t>26</w:t>
                                  </w:r>
                                </w:p>
                              </w:txbxContent>
                            </wps:txbx>
                            <wps:bodyPr rot="0" vert="horz" wrap="square" lIns="2" tIns="2" rIns="2" bIns="3"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C4C1B8A" id="Oval 7" o:spid="_x0000_s1030" style="position:absolute;margin-left:24.2pt;margin-top:24.4pt;width:48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" fillcolor="#5b9bd5" strokecolor="#41719c" strokeweight="1pt">
                      <v:stroke joinstyle="miter"/>
                      <v:textbox inset="6e-5mm,6e-5mm,6e-5mm,8e-5mm">
                        <w:txbxContent>
                          <w:p w:rsidR="00A429C6" w:rsidRDefault="00A429C6" w:rsidP="00A429C6">
                            <w:pPr>
                              <w:pStyle w:val="ParaAttribute4"/>
                              <w:jc w:val="center"/>
                              <w:rPr>
                                <w:rFonts w:ascii="Tahoma" w:eastAsia="Tahoma" w:hAnsi="Tahoma"/>
                              </w:rPr>
                            </w:pPr>
                            <w:r>
                              <w:rPr>
                                <w:rStyle w:val="CharAttribute10"/>
                                <w:szCs w:val="36"/>
                              </w:rPr>
                              <w:t>26</w:t>
                            </w:r>
                          </w:p>
                        </w:txbxContent>
                      </v:textbox>
                    </v:oval>
                  </w:pict>
                </mc:Fallback>
              </mc:AlternateConten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r>
              <w:rPr>
                <w:rFonts w:ascii="Calibri" w:eastAsia="Calibri" w:hAnsi="Calibri"/>
                <w:noProof/>
                <w:sz w:val="16"/>
                <w:szCs w:val="16"/>
                <w:lang w:eastAsia="en-GB"/>
              </w:rPr>
              <mc:AlternateContent>
                <mc:Choice Requires="wps">
                  <w:drawing>
                    <wp:anchor distT="0" distB="0" distL="114300" distR="114300" simplePos="0" relativeHeight="251667456" behindDoc="0" locked="0" layoutInCell="1" allowOverlap="1" wp14:anchorId="7AFDF870" wp14:editId="7C30E7EE">
                      <wp:simplePos x="0" y="0"/>
                      <wp:positionH relativeFrom="column">
                        <wp:posOffset>254000</wp:posOffset>
                      </wp:positionH>
                      <wp:positionV relativeFrom="paragraph">
                        <wp:posOffset>274955</wp:posOffset>
                      </wp:positionV>
                      <wp:extent cx="609600" cy="609600"/>
                      <wp:effectExtent l="10160" t="13335" r="8890" b="15240"/>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5B9BD5"/>
                              </a:solidFill>
                              <a:ln w="12700">
                                <a:solidFill>
                                  <a:srgbClr val="41719C"/>
                                </a:solidFill>
                                <a:miter lim="800000"/>
                                <a:headEnd/>
                                <a:tailEnd/>
                              </a:ln>
                            </wps:spPr>
                            <wps:txbx>
                              <w:txbxContent>
                                <w:p w:rsidR="00A429C6" w:rsidRDefault="00A429C6" w:rsidP="00A429C6">
                                  <w:pPr>
                                    <w:pStyle w:val="ParaAttribute4"/>
                                    <w:jc w:val="center"/>
                                    <w:rPr>
                                      <w:rFonts w:ascii="Tahoma" w:eastAsia="Tahoma" w:hAnsi="Tahoma"/>
                                    </w:rPr>
                                  </w:pPr>
                                  <w:r>
                                    <w:rPr>
                                      <w:rStyle w:val="CharAttribute10"/>
                                      <w:szCs w:val="36"/>
                                    </w:rPr>
                                    <w:t>30</w:t>
                                  </w:r>
                                </w:p>
                              </w:txbxContent>
                            </wps:txbx>
                            <wps:bodyPr rot="0" vert="horz" wrap="square" lIns="2" tIns="2" rIns="2" bIns="3"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FDF870" id="Oval 10" o:spid="_x0000_s1031" style="position:absolute;margin-left:20pt;margin-top:21.65pt;width:48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" fillcolor="#5b9bd5" strokecolor="#41719c" strokeweight="1pt">
                      <v:stroke joinstyle="miter"/>
                      <v:textbox inset="6e-5mm,6e-5mm,6e-5mm,8e-5mm">
                        <w:txbxContent>
                          <w:p w:rsidR="00A429C6" w:rsidRDefault="00A429C6" w:rsidP="00A429C6">
                            <w:pPr>
                              <w:pStyle w:val="ParaAttribute4"/>
                              <w:jc w:val="center"/>
                              <w:rPr>
                                <w:rFonts w:ascii="Tahoma" w:eastAsia="Tahoma" w:hAnsi="Tahoma"/>
                              </w:rPr>
                            </w:pPr>
                            <w:r>
                              <w:rPr>
                                <w:rStyle w:val="CharAttribute10"/>
                                <w:szCs w:val="36"/>
                              </w:rPr>
                              <w:t>30</w:t>
                            </w:r>
                          </w:p>
                        </w:txbxContent>
                      </v:textbox>
                    </v:oval>
                  </w:pict>
                </mc:Fallback>
              </mc:AlternateConten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D9D9D9"/>
            </w:tcBorders>
            <w:tcMar>
              <w:top w:w="0" w:type="dxa"/>
              <w:left w:w="99" w:type="dxa"/>
              <w:bottom w:w="0" w:type="dxa"/>
              <w:right w:w="99" w:type="dxa"/>
            </w:tcMar>
          </w:tcPr>
          <w:p w:rsidR="00A429C6" w:rsidRDefault="00A429C6" w:rsidP="00ED31C4">
            <w:pPr>
              <w:pStyle w:val="ParaAttribute1"/>
              <w:rPr>
                <w:rFonts w:ascii="Calibri" w:eastAsia="Calibri" w:hAnsi="Calibri"/>
              </w:rPr>
            </w:pPr>
          </w:p>
        </w:tc>
      </w:tr>
      <w:tr w:rsidR="00A429C6" w:rsidTr="009C3D13">
        <w:trPr>
          <w:trHeight w:val="560"/>
        </w:trPr>
        <w:tc>
          <w:tcPr>
            <w:tcW w:w="568" w:type="dxa"/>
            <w:vMerge/>
            <w:tcBorders>
              <w:top w:val="single" w:sz="4" w:space="0" w:color="FFFFFF"/>
              <w:left w:val="single" w:sz="4" w:space="0" w:color="FFFFFF"/>
              <w:bottom w:val="single" w:sz="4" w:space="0" w:color="000000"/>
              <w:right w:val="single" w:sz="4" w:space="0" w:color="000000"/>
            </w:tcBorders>
          </w:tcPr>
          <w:p w:rsidR="00A429C6" w:rsidRDefault="00A429C6" w:rsidP="00ED31C4"/>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r>
              <w:rPr>
                <w:rFonts w:ascii="Calibri" w:eastAsia="Calibri" w:hAnsi="Calibri"/>
                <w:noProof/>
                <w:sz w:val="16"/>
                <w:szCs w:val="16"/>
                <w:lang w:eastAsia="en-GB"/>
              </w:rPr>
              <mc:AlternateContent>
                <mc:Choice Requires="wps">
                  <w:drawing>
                    <wp:anchor distT="0" distB="0" distL="114300" distR="114300" simplePos="0" relativeHeight="251662336" behindDoc="0" locked="0" layoutInCell="1" allowOverlap="1" wp14:anchorId="7B3E906A" wp14:editId="2A37358F">
                      <wp:simplePos x="0" y="0"/>
                      <wp:positionH relativeFrom="column">
                        <wp:posOffset>-152400</wp:posOffset>
                      </wp:positionH>
                      <wp:positionV relativeFrom="paragraph">
                        <wp:posOffset>292100</wp:posOffset>
                      </wp:positionV>
                      <wp:extent cx="609600" cy="609600"/>
                      <wp:effectExtent l="10160" t="6350" r="8890" b="1270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5B9BD5"/>
                              </a:solidFill>
                              <a:ln w="12700">
                                <a:solidFill>
                                  <a:srgbClr val="41719C"/>
                                </a:solidFill>
                                <a:miter lim="800000"/>
                                <a:headEnd/>
                                <a:tailEnd/>
                              </a:ln>
                            </wps:spPr>
                            <wps:txbx>
                              <w:txbxContent>
                                <w:p w:rsidR="00A429C6" w:rsidRDefault="00A429C6" w:rsidP="00A429C6">
                                  <w:pPr>
                                    <w:pStyle w:val="ParaAttribute4"/>
                                    <w:jc w:val="center"/>
                                    <w:rPr>
                                      <w:rFonts w:ascii="Tahoma" w:eastAsia="Tahoma" w:hAnsi="Tahoma"/>
                                    </w:rPr>
                                  </w:pPr>
                                  <w:r>
                                    <w:rPr>
                                      <w:rStyle w:val="CharAttribute10"/>
                                      <w:szCs w:val="36"/>
                                    </w:rPr>
                                    <w:t>6</w:t>
                                  </w:r>
                                </w:p>
                              </w:txbxContent>
                            </wps:txbx>
                            <wps:bodyPr rot="0" vert="horz" wrap="square" lIns="2" tIns="2" rIns="2" bIns="3"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B3E906A" id="Oval 6" o:spid="_x0000_s1032" style="position:absolute;margin-left:-12pt;margin-top:23pt;width:48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" fillcolor="#5b9bd5" strokecolor="#41719c" strokeweight="1pt">
                      <v:stroke joinstyle="miter"/>
                      <v:textbox inset="6e-5mm,6e-5mm,6e-5mm,8e-5mm">
                        <w:txbxContent>
                          <w:p w:rsidR="00A429C6" w:rsidRDefault="00A429C6" w:rsidP="00A429C6">
                            <w:pPr>
                              <w:pStyle w:val="ParaAttribute4"/>
                              <w:jc w:val="center"/>
                              <w:rPr>
                                <w:rFonts w:ascii="Tahoma" w:eastAsia="Tahoma" w:hAnsi="Tahoma"/>
                              </w:rPr>
                            </w:pPr>
                            <w:r>
                              <w:rPr>
                                <w:rStyle w:val="CharAttribute10"/>
                                <w:szCs w:val="36"/>
                              </w:rPr>
                              <w:t>6</w:t>
                            </w:r>
                          </w:p>
                        </w:txbxContent>
                      </v:textbox>
                    </v:oval>
                  </w:pict>
                </mc:Fallback>
              </mc:AlternateConten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D9D9D9"/>
            </w:tcBorders>
            <w:tcMar>
              <w:top w:w="0" w:type="dxa"/>
              <w:left w:w="99" w:type="dxa"/>
              <w:bottom w:w="0" w:type="dxa"/>
              <w:right w:w="99" w:type="dxa"/>
            </w:tcMar>
          </w:tcPr>
          <w:p w:rsidR="00A429C6" w:rsidRDefault="00A429C6" w:rsidP="00ED31C4">
            <w:pPr>
              <w:pStyle w:val="ParaAttribute1"/>
              <w:rPr>
                <w:rFonts w:ascii="Calibri" w:eastAsia="Calibri" w:hAnsi="Calibri"/>
              </w:rPr>
            </w:pPr>
          </w:p>
        </w:tc>
      </w:tr>
      <w:tr w:rsidR="00A429C6" w:rsidTr="009C3D13">
        <w:trPr>
          <w:trHeight w:val="560"/>
        </w:trPr>
        <w:tc>
          <w:tcPr>
            <w:tcW w:w="568" w:type="dxa"/>
            <w:vMerge/>
            <w:tcBorders>
              <w:top w:val="single" w:sz="4" w:space="0" w:color="FFFFFF"/>
              <w:left w:val="single" w:sz="4" w:space="0" w:color="FFFFFF"/>
              <w:bottom w:val="single" w:sz="4" w:space="0" w:color="000000"/>
              <w:right w:val="single" w:sz="4" w:space="0" w:color="000000"/>
            </w:tcBorders>
          </w:tcPr>
          <w:p w:rsidR="00A429C6" w:rsidRDefault="00A429C6" w:rsidP="00ED31C4"/>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r>
              <w:rPr>
                <w:rFonts w:ascii="Calibri" w:eastAsia="Calibri" w:hAnsi="Calibri"/>
                <w:noProof/>
                <w:sz w:val="16"/>
                <w:szCs w:val="16"/>
                <w:lang w:eastAsia="en-GB"/>
              </w:rPr>
              <mc:AlternateContent>
                <mc:Choice Requires="wps">
                  <w:drawing>
                    <wp:anchor distT="0" distB="0" distL="114300" distR="114300" simplePos="0" relativeHeight="251664384" behindDoc="0" locked="0" layoutInCell="1" allowOverlap="1" wp14:anchorId="230E7CF4" wp14:editId="7DDC537C">
                      <wp:simplePos x="0" y="0"/>
                      <wp:positionH relativeFrom="column">
                        <wp:posOffset>1612900</wp:posOffset>
                      </wp:positionH>
                      <wp:positionV relativeFrom="paragraph">
                        <wp:posOffset>1358900</wp:posOffset>
                      </wp:positionV>
                      <wp:extent cx="609600" cy="609600"/>
                      <wp:effectExtent l="6985" t="10795" r="12065" b="825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5B9BD5"/>
                              </a:solidFill>
                              <a:ln w="12700">
                                <a:solidFill>
                                  <a:srgbClr val="41719C"/>
                                </a:solidFill>
                                <a:miter lim="800000"/>
                                <a:headEnd/>
                                <a:tailEnd/>
                              </a:ln>
                            </wps:spPr>
                            <wps:txbx>
                              <w:txbxContent>
                                <w:p w:rsidR="00A429C6" w:rsidRDefault="00A429C6" w:rsidP="00A429C6">
                                  <w:pPr>
                                    <w:pStyle w:val="ParaAttribute4"/>
                                    <w:jc w:val="center"/>
                                    <w:rPr>
                                      <w:rFonts w:ascii="Tahoma" w:eastAsia="Tahoma" w:hAnsi="Tahoma"/>
                                    </w:rPr>
                                  </w:pPr>
                                  <w:r>
                                    <w:rPr>
                                      <w:rStyle w:val="CharAttribute10"/>
                                      <w:szCs w:val="36"/>
                                    </w:rPr>
                                    <w:t>19</w:t>
                                  </w:r>
                                </w:p>
                              </w:txbxContent>
                            </wps:txbx>
                            <wps:bodyPr rot="0" vert="horz" wrap="square" lIns="2" tIns="2" rIns="2" bIns="3"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0E7CF4" id="Oval 5" o:spid="_x0000_s1033" style="position:absolute;margin-left:127pt;margin-top:107pt;width:48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" fillcolor="#5b9bd5" strokecolor="#41719c" strokeweight="1pt">
                      <v:stroke joinstyle="miter"/>
                      <v:textbox inset="6e-5mm,6e-5mm,6e-5mm,8e-5mm">
                        <w:txbxContent>
                          <w:p w:rsidR="00A429C6" w:rsidRDefault="00A429C6" w:rsidP="00A429C6">
                            <w:pPr>
                              <w:pStyle w:val="ParaAttribute4"/>
                              <w:jc w:val="center"/>
                              <w:rPr>
                                <w:rFonts w:ascii="Tahoma" w:eastAsia="Tahoma" w:hAnsi="Tahoma"/>
                              </w:rPr>
                            </w:pPr>
                            <w:r>
                              <w:rPr>
                                <w:rStyle w:val="CharAttribute10"/>
                                <w:szCs w:val="36"/>
                              </w:rPr>
                              <w:t>19</w:t>
                            </w:r>
                          </w:p>
                        </w:txbxContent>
                      </v:textbox>
                    </v:oval>
                  </w:pict>
                </mc:Fallback>
              </mc:AlternateContent>
            </w: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D9D9D9"/>
            </w:tcBorders>
            <w:tcMar>
              <w:top w:w="0" w:type="dxa"/>
              <w:left w:w="99" w:type="dxa"/>
              <w:bottom w:w="0" w:type="dxa"/>
              <w:right w:w="99" w:type="dxa"/>
            </w:tcMar>
          </w:tcPr>
          <w:p w:rsidR="00A429C6" w:rsidRDefault="00A429C6" w:rsidP="00ED31C4">
            <w:pPr>
              <w:pStyle w:val="ParaAttribute1"/>
              <w:rPr>
                <w:rFonts w:ascii="Calibri" w:eastAsia="Calibri" w:hAnsi="Calibri"/>
              </w:rPr>
            </w:pPr>
          </w:p>
        </w:tc>
      </w:tr>
      <w:tr w:rsidR="00A429C6" w:rsidTr="009C3D13">
        <w:trPr>
          <w:trHeight w:val="560"/>
        </w:trPr>
        <w:tc>
          <w:tcPr>
            <w:tcW w:w="568" w:type="dxa"/>
            <w:vMerge/>
            <w:tcBorders>
              <w:top w:val="single" w:sz="4" w:space="0" w:color="FFFFFF"/>
              <w:left w:val="single" w:sz="4" w:space="0" w:color="FFFFFF"/>
              <w:bottom w:val="single" w:sz="4" w:space="0" w:color="000000"/>
              <w:right w:val="single" w:sz="4" w:space="0" w:color="000000"/>
            </w:tcBorders>
          </w:tcPr>
          <w:p w:rsidR="00A429C6" w:rsidRDefault="00A429C6" w:rsidP="00ED31C4"/>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D9D9D9"/>
            </w:tcBorders>
            <w:tcMar>
              <w:top w:w="0" w:type="dxa"/>
              <w:left w:w="99" w:type="dxa"/>
              <w:bottom w:w="0" w:type="dxa"/>
              <w:right w:w="99" w:type="dxa"/>
            </w:tcMar>
          </w:tcPr>
          <w:p w:rsidR="00A429C6" w:rsidRDefault="00A429C6" w:rsidP="00ED31C4">
            <w:pPr>
              <w:pStyle w:val="ParaAttribute1"/>
              <w:rPr>
                <w:rFonts w:ascii="Calibri" w:eastAsia="Calibri" w:hAnsi="Calibri"/>
              </w:rPr>
            </w:pPr>
          </w:p>
        </w:tc>
      </w:tr>
      <w:tr w:rsidR="00A429C6" w:rsidTr="009C3D13">
        <w:trPr>
          <w:trHeight w:val="560"/>
        </w:trPr>
        <w:tc>
          <w:tcPr>
            <w:tcW w:w="568" w:type="dxa"/>
            <w:vMerge/>
            <w:tcBorders>
              <w:top w:val="single" w:sz="4" w:space="0" w:color="FFFFFF"/>
              <w:left w:val="single" w:sz="4" w:space="0" w:color="FFFFFF"/>
              <w:bottom w:val="single" w:sz="4" w:space="0" w:color="000000"/>
              <w:right w:val="single" w:sz="4" w:space="0" w:color="000000"/>
            </w:tcBorders>
          </w:tcPr>
          <w:p w:rsidR="00A429C6" w:rsidRDefault="00A429C6" w:rsidP="00ED31C4"/>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D9D9D9"/>
            </w:tcBorders>
            <w:tcMar>
              <w:top w:w="0" w:type="dxa"/>
              <w:left w:w="99" w:type="dxa"/>
              <w:bottom w:w="0" w:type="dxa"/>
              <w:right w:w="99" w:type="dxa"/>
            </w:tcMar>
          </w:tcPr>
          <w:p w:rsidR="00A429C6" w:rsidRDefault="00A429C6" w:rsidP="00ED31C4">
            <w:pPr>
              <w:pStyle w:val="ParaAttribute1"/>
              <w:rPr>
                <w:rFonts w:ascii="Calibri" w:eastAsia="Calibri" w:hAnsi="Calibri"/>
              </w:rPr>
            </w:pPr>
          </w:p>
        </w:tc>
      </w:tr>
      <w:tr w:rsidR="00A429C6" w:rsidTr="009C3D13">
        <w:trPr>
          <w:trHeight w:val="560"/>
        </w:trPr>
        <w:tc>
          <w:tcPr>
            <w:tcW w:w="568" w:type="dxa"/>
            <w:vMerge/>
            <w:tcBorders>
              <w:top w:val="single" w:sz="4" w:space="0" w:color="FFFFFF"/>
              <w:left w:val="single" w:sz="4" w:space="0" w:color="FFFFFF"/>
              <w:bottom w:val="single" w:sz="4" w:space="0" w:color="000000"/>
              <w:right w:val="single" w:sz="4" w:space="0" w:color="000000"/>
            </w:tcBorders>
          </w:tcPr>
          <w:p w:rsidR="00A429C6" w:rsidRDefault="00A429C6" w:rsidP="00ED31C4"/>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D9D9D9"/>
            </w:tcBorders>
            <w:tcMar>
              <w:top w:w="0" w:type="dxa"/>
              <w:left w:w="99" w:type="dxa"/>
              <w:bottom w:w="0" w:type="dxa"/>
              <w:right w:w="99" w:type="dxa"/>
            </w:tcMar>
          </w:tcPr>
          <w:p w:rsidR="00A429C6" w:rsidRDefault="00A429C6" w:rsidP="00ED31C4">
            <w:pPr>
              <w:pStyle w:val="ParaAttribute1"/>
              <w:rPr>
                <w:rFonts w:ascii="Calibri" w:eastAsia="Calibri" w:hAnsi="Calibri"/>
              </w:rPr>
            </w:pPr>
          </w:p>
        </w:tc>
      </w:tr>
      <w:tr w:rsidR="00A429C6" w:rsidTr="009C3D13">
        <w:trPr>
          <w:trHeight w:val="560"/>
        </w:trPr>
        <w:tc>
          <w:tcPr>
            <w:tcW w:w="568" w:type="dxa"/>
            <w:vMerge/>
            <w:tcBorders>
              <w:top w:val="single" w:sz="4" w:space="0" w:color="FFFFFF"/>
              <w:left w:val="single" w:sz="4" w:space="0" w:color="FFFFFF"/>
              <w:bottom w:val="single" w:sz="4" w:space="0" w:color="000000"/>
              <w:right w:val="single" w:sz="4" w:space="0" w:color="000000"/>
            </w:tcBorders>
          </w:tcPr>
          <w:p w:rsidR="00A429C6" w:rsidRDefault="00A429C6" w:rsidP="00ED31C4"/>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D9D9D9"/>
            </w:tcBorders>
            <w:tcMar>
              <w:top w:w="0" w:type="dxa"/>
              <w:left w:w="99" w:type="dxa"/>
              <w:bottom w:w="0" w:type="dxa"/>
              <w:right w:w="99" w:type="dxa"/>
            </w:tcMar>
          </w:tcPr>
          <w:p w:rsidR="00A429C6" w:rsidRDefault="00A429C6" w:rsidP="00ED31C4">
            <w:pPr>
              <w:pStyle w:val="ParaAttribute1"/>
              <w:rPr>
                <w:rFonts w:ascii="Calibri" w:eastAsia="Calibri" w:hAnsi="Calibri"/>
              </w:rPr>
            </w:pPr>
          </w:p>
        </w:tc>
      </w:tr>
      <w:tr w:rsidR="00A429C6" w:rsidTr="009C3D13">
        <w:trPr>
          <w:trHeight w:val="560"/>
        </w:trPr>
        <w:tc>
          <w:tcPr>
            <w:tcW w:w="568" w:type="dxa"/>
            <w:vMerge/>
            <w:tcBorders>
              <w:top w:val="single" w:sz="4" w:space="0" w:color="FFFFFF"/>
              <w:left w:val="single" w:sz="4" w:space="0" w:color="FFFFFF"/>
              <w:bottom w:val="single" w:sz="4" w:space="0" w:color="000000"/>
              <w:right w:val="single" w:sz="4" w:space="0" w:color="000000"/>
            </w:tcBorders>
          </w:tcPr>
          <w:p w:rsidR="00A429C6" w:rsidRDefault="00A429C6" w:rsidP="00ED31C4"/>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D9D9D9"/>
            </w:tcBorders>
            <w:tcMar>
              <w:top w:w="0" w:type="dxa"/>
              <w:left w:w="99" w:type="dxa"/>
              <w:bottom w:w="0" w:type="dxa"/>
              <w:right w:w="99" w:type="dxa"/>
            </w:tcMar>
          </w:tcPr>
          <w:p w:rsidR="00A429C6" w:rsidRDefault="00A429C6" w:rsidP="00ED31C4">
            <w:pPr>
              <w:pStyle w:val="ParaAttribute1"/>
              <w:rPr>
                <w:rFonts w:ascii="Calibri" w:eastAsia="Calibri" w:hAnsi="Calibri"/>
              </w:rPr>
            </w:pPr>
          </w:p>
        </w:tc>
      </w:tr>
      <w:tr w:rsidR="00A429C6" w:rsidTr="009C3D13">
        <w:trPr>
          <w:trHeight w:val="560"/>
        </w:trPr>
        <w:tc>
          <w:tcPr>
            <w:tcW w:w="568" w:type="dxa"/>
            <w:vMerge/>
            <w:tcBorders>
              <w:top w:val="single" w:sz="4" w:space="0" w:color="FFFFFF"/>
              <w:left w:val="single" w:sz="4" w:space="0" w:color="FFFFFF"/>
              <w:bottom w:val="single" w:sz="4" w:space="0" w:color="000000"/>
              <w:right w:val="single" w:sz="4" w:space="0" w:color="000000"/>
            </w:tcBorders>
          </w:tcPr>
          <w:p w:rsidR="00A429C6" w:rsidRDefault="00A429C6" w:rsidP="00ED31C4"/>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D9D9D9"/>
            </w:tcBorders>
            <w:tcMar>
              <w:top w:w="0" w:type="dxa"/>
              <w:left w:w="99" w:type="dxa"/>
              <w:bottom w:w="0" w:type="dxa"/>
              <w:right w:w="99" w:type="dxa"/>
            </w:tcMar>
          </w:tcPr>
          <w:p w:rsidR="00A429C6" w:rsidRDefault="00A429C6" w:rsidP="00ED31C4">
            <w:pPr>
              <w:pStyle w:val="ParaAttribute1"/>
              <w:rPr>
                <w:rFonts w:ascii="Calibri" w:eastAsia="Calibri" w:hAnsi="Calibri"/>
              </w:rPr>
            </w:pPr>
          </w:p>
        </w:tc>
      </w:tr>
      <w:tr w:rsidR="00A429C6" w:rsidTr="009C3D13">
        <w:trPr>
          <w:trHeight w:val="560"/>
        </w:trPr>
        <w:tc>
          <w:tcPr>
            <w:tcW w:w="568" w:type="dxa"/>
            <w:vMerge/>
            <w:tcBorders>
              <w:top w:val="single" w:sz="4" w:space="0" w:color="FFFFFF"/>
              <w:left w:val="single" w:sz="4" w:space="0" w:color="FFFFFF"/>
              <w:bottom w:val="single" w:sz="4" w:space="0" w:color="000000"/>
              <w:right w:val="single" w:sz="4" w:space="0" w:color="000000"/>
            </w:tcBorders>
          </w:tcPr>
          <w:p w:rsidR="00A429C6" w:rsidRDefault="00A429C6" w:rsidP="00ED31C4"/>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A429C6" w:rsidRDefault="00A429C6" w:rsidP="00ED31C4">
            <w:pPr>
              <w:pStyle w:val="ParaAttribute1"/>
              <w:rPr>
                <w:rFonts w:ascii="Calibri" w:eastAsia="Calibri" w:hAnsi="Calibri"/>
              </w:rPr>
            </w:pPr>
          </w:p>
        </w:tc>
        <w:tc>
          <w:tcPr>
            <w:tcW w:w="680" w:type="dxa"/>
            <w:tcBorders>
              <w:top w:val="single" w:sz="4" w:space="0" w:color="000000"/>
              <w:left w:val="single" w:sz="4" w:space="0" w:color="000000"/>
              <w:bottom w:val="single" w:sz="4" w:space="0" w:color="000000"/>
              <w:right w:val="single" w:sz="4" w:space="0" w:color="D9D9D9"/>
            </w:tcBorders>
            <w:tcMar>
              <w:top w:w="0" w:type="dxa"/>
              <w:left w:w="99" w:type="dxa"/>
              <w:bottom w:w="0" w:type="dxa"/>
              <w:right w:w="99" w:type="dxa"/>
            </w:tcMar>
          </w:tcPr>
          <w:p w:rsidR="00A429C6" w:rsidRDefault="00A429C6" w:rsidP="00ED31C4">
            <w:pPr>
              <w:pStyle w:val="ParaAttribute1"/>
              <w:rPr>
                <w:rFonts w:ascii="Calibri" w:eastAsia="Calibri" w:hAnsi="Calibri"/>
              </w:rPr>
            </w:pPr>
          </w:p>
        </w:tc>
      </w:tr>
    </w:tbl>
    <w:p w:rsidR="00A429C6" w:rsidRDefault="00A429C6" w:rsidP="00A429C6">
      <w:pPr>
        <w:pStyle w:val="ParaAttribute6"/>
        <w:spacing w:line="259" w:lineRule="auto"/>
        <w:rPr>
          <w:rFonts w:ascii="Calibri" w:eastAsia="Calibri" w:hAnsi="Calibri"/>
        </w:rPr>
      </w:pPr>
      <w:r>
        <w:rPr>
          <w:rStyle w:val="CharAttribute15"/>
          <w:szCs w:val="22"/>
        </w:rPr>
        <w:tab/>
      </w:r>
      <w:r>
        <w:rPr>
          <w:rStyle w:val="CharAttribute15"/>
          <w:szCs w:val="22"/>
        </w:rPr>
        <w:tab/>
      </w:r>
      <w:r>
        <w:rPr>
          <w:rStyle w:val="CharAttribute15"/>
          <w:szCs w:val="22"/>
        </w:rPr>
        <w:tab/>
      </w:r>
      <w:r>
        <w:rPr>
          <w:rStyle w:val="CharAttribute15"/>
          <w:szCs w:val="22"/>
        </w:rPr>
        <w:tab/>
      </w:r>
      <w:r>
        <w:rPr>
          <w:rStyle w:val="CharAttribute15"/>
          <w:szCs w:val="22"/>
        </w:rPr>
        <w:tab/>
      </w:r>
      <w:r>
        <w:rPr>
          <w:rStyle w:val="CharAttribute15"/>
          <w:szCs w:val="22"/>
        </w:rPr>
        <w:tab/>
      </w:r>
      <w:r>
        <w:rPr>
          <w:rStyle w:val="CharAttribute15"/>
          <w:szCs w:val="22"/>
        </w:rPr>
        <w:tab/>
      </w:r>
      <w:r>
        <w:rPr>
          <w:rStyle w:val="CharAttribute1"/>
          <w:szCs w:val="28"/>
        </w:rPr>
        <w:t>Likelihood</w:t>
      </w:r>
    </w:p>
    <w:sectPr w:rsidR="00A429C6" w:rsidSect="00A429C6">
      <w:pgSz w:w="16838" w:h="11906" w:orient="landscape"/>
      <w:pgMar w:top="851" w:right="144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C4E" w:rsidRDefault="008E3C4E" w:rsidP="00A429C6">
      <w:pPr>
        <w:spacing w:after="0" w:line="240" w:lineRule="auto"/>
      </w:pPr>
      <w:r>
        <w:separator/>
      </w:r>
    </w:p>
  </w:endnote>
  <w:endnote w:type="continuationSeparator" w:id="0">
    <w:p w:rsidR="008E3C4E" w:rsidRDefault="008E3C4E" w:rsidP="00A4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4789"/>
      <w:docPartObj>
        <w:docPartGallery w:val="Page Numbers (Bottom of Page)"/>
        <w:docPartUnique/>
      </w:docPartObj>
    </w:sdtPr>
    <w:sdtEndPr>
      <w:rPr>
        <w:noProof/>
      </w:rPr>
    </w:sdtEndPr>
    <w:sdtContent>
      <w:p w:rsidR="00A429C6" w:rsidRDefault="00A429C6">
        <w:pPr>
          <w:pStyle w:val="Footer"/>
          <w:jc w:val="center"/>
        </w:pPr>
        <w:r>
          <w:fldChar w:fldCharType="begin"/>
        </w:r>
        <w:r>
          <w:instrText xml:space="preserve"> PAGE   \* MERGEFORMAT </w:instrText>
        </w:r>
        <w:r>
          <w:fldChar w:fldCharType="separate"/>
        </w:r>
        <w:r w:rsidR="00085315">
          <w:rPr>
            <w:noProof/>
          </w:rPr>
          <w:t>1</w:t>
        </w:r>
        <w:r>
          <w:rPr>
            <w:noProof/>
          </w:rPr>
          <w:fldChar w:fldCharType="end"/>
        </w:r>
      </w:p>
    </w:sdtContent>
  </w:sdt>
  <w:p w:rsidR="00A429C6" w:rsidRDefault="00A42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C4E" w:rsidRDefault="008E3C4E" w:rsidP="00A429C6">
      <w:pPr>
        <w:spacing w:after="0" w:line="240" w:lineRule="auto"/>
      </w:pPr>
      <w:r>
        <w:separator/>
      </w:r>
    </w:p>
  </w:footnote>
  <w:footnote w:type="continuationSeparator" w:id="0">
    <w:p w:rsidR="008E3C4E" w:rsidRDefault="008E3C4E" w:rsidP="00A42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F733C"/>
    <w:multiLevelType w:val="hybridMultilevel"/>
    <w:tmpl w:val="CCF0C266"/>
    <w:lvl w:ilvl="0" w:tplc="13D8A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03D21"/>
    <w:multiLevelType w:val="multilevel"/>
    <w:tmpl w:val="E79036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B7E689A"/>
    <w:multiLevelType w:val="multilevel"/>
    <w:tmpl w:val="810C24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3A9042B"/>
    <w:multiLevelType w:val="hybridMultilevel"/>
    <w:tmpl w:val="11AC5DCA"/>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09C6B78"/>
    <w:multiLevelType w:val="hybridMultilevel"/>
    <w:tmpl w:val="6FE87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22128BF"/>
    <w:multiLevelType w:val="hybridMultilevel"/>
    <w:tmpl w:val="BE34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C280D"/>
    <w:multiLevelType w:val="hybridMultilevel"/>
    <w:tmpl w:val="5DCCB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C5"/>
    <w:rsid w:val="00085315"/>
    <w:rsid w:val="00094A37"/>
    <w:rsid w:val="000A2D49"/>
    <w:rsid w:val="00126FCC"/>
    <w:rsid w:val="00141A89"/>
    <w:rsid w:val="002005C5"/>
    <w:rsid w:val="00420DD9"/>
    <w:rsid w:val="00467427"/>
    <w:rsid w:val="0054483E"/>
    <w:rsid w:val="00596D87"/>
    <w:rsid w:val="005D323D"/>
    <w:rsid w:val="005E4B5B"/>
    <w:rsid w:val="006B3F31"/>
    <w:rsid w:val="006B4323"/>
    <w:rsid w:val="00785A9E"/>
    <w:rsid w:val="00895685"/>
    <w:rsid w:val="008A3C3A"/>
    <w:rsid w:val="008E3C4E"/>
    <w:rsid w:val="00950155"/>
    <w:rsid w:val="009C3D13"/>
    <w:rsid w:val="00A429C6"/>
    <w:rsid w:val="00A45B15"/>
    <w:rsid w:val="00AF4C2C"/>
    <w:rsid w:val="00B358EA"/>
    <w:rsid w:val="00B61E75"/>
    <w:rsid w:val="00BD68F6"/>
    <w:rsid w:val="00C277E4"/>
    <w:rsid w:val="00CD1ADD"/>
    <w:rsid w:val="00CE2CA9"/>
    <w:rsid w:val="00CE76A7"/>
    <w:rsid w:val="00D36C16"/>
    <w:rsid w:val="00D47E1C"/>
    <w:rsid w:val="00DB43C5"/>
    <w:rsid w:val="00E949E8"/>
    <w:rsid w:val="00EC0FD0"/>
    <w:rsid w:val="00F117F9"/>
    <w:rsid w:val="00FC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56BB5-00A7-496B-B90A-471BBC2E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6">
    <w:name w:val="CharAttribute6"/>
    <w:rsid w:val="00CD1ADD"/>
    <w:rPr>
      <w:rFonts w:ascii="Helvetica" w:eastAsia="Helvetica"/>
    </w:rPr>
  </w:style>
  <w:style w:type="paragraph" w:customStyle="1" w:styleId="ParaAttribute4">
    <w:name w:val="ParaAttribute4"/>
    <w:rsid w:val="00CD1ADD"/>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7">
    <w:name w:val="CharAttribute7"/>
    <w:rsid w:val="00CD1ADD"/>
    <w:rPr>
      <w:rFonts w:ascii="Calibri" w:eastAsia="Calibri"/>
    </w:rPr>
  </w:style>
  <w:style w:type="paragraph" w:customStyle="1" w:styleId="ParaAttribute3">
    <w:name w:val="ParaAttribute3"/>
    <w:rsid w:val="00CD1ADD"/>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19">
    <w:name w:val="CharAttribute19"/>
    <w:rsid w:val="00CD1ADD"/>
    <w:rPr>
      <w:rFonts w:ascii="Helvetica" w:eastAsia="Helvetica"/>
    </w:rPr>
  </w:style>
  <w:style w:type="paragraph" w:customStyle="1" w:styleId="ParaAttribute0">
    <w:name w:val="ParaAttribute0"/>
    <w:rsid w:val="00CD1ADD"/>
    <w:pPr>
      <w:wordWrap w:val="0"/>
      <w:spacing w:after="0" w:line="240" w:lineRule="auto"/>
    </w:pPr>
    <w:rPr>
      <w:rFonts w:ascii="Times New Roman" w:eastAsia="Batang" w:hAnsi="Times New Roman" w:cs="Times New Roman"/>
      <w:sz w:val="20"/>
      <w:szCs w:val="20"/>
      <w:lang w:eastAsia="en-GB"/>
    </w:rPr>
  </w:style>
  <w:style w:type="character" w:customStyle="1" w:styleId="CharAttribute18">
    <w:name w:val="CharAttribute18"/>
    <w:rsid w:val="00CD1ADD"/>
    <w:rPr>
      <w:rFonts w:ascii="Calibri" w:eastAsia="Calibri"/>
    </w:rPr>
  </w:style>
  <w:style w:type="paragraph" w:customStyle="1" w:styleId="ParaAttribute5">
    <w:name w:val="ParaAttribute5"/>
    <w:rsid w:val="00CD1ADD"/>
    <w:pPr>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094A37"/>
    <w:rPr>
      <w:rFonts w:ascii="Calibri" w:eastAsia="Calibri"/>
      <w:b/>
      <w:sz w:val="24"/>
    </w:rPr>
  </w:style>
  <w:style w:type="character" w:customStyle="1" w:styleId="CharAttribute17">
    <w:name w:val="CharAttribute17"/>
    <w:rsid w:val="00094A37"/>
    <w:rPr>
      <w:rFonts w:ascii="Calibri" w:eastAsia="Calibri"/>
      <w:b/>
      <w:sz w:val="24"/>
    </w:rPr>
  </w:style>
  <w:style w:type="table" w:customStyle="1" w:styleId="DefaultTable">
    <w:name w:val="Default Table"/>
    <w:rsid w:val="00A429C6"/>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A429C6"/>
    <w:pPr>
      <w:wordWrap w:val="0"/>
      <w:spacing w:after="0" w:line="240" w:lineRule="auto"/>
    </w:pPr>
    <w:rPr>
      <w:rFonts w:ascii="Times New Roman" w:eastAsia="Batang" w:hAnsi="Times New Roman" w:cs="Times New Roman"/>
      <w:sz w:val="20"/>
      <w:szCs w:val="20"/>
    </w:rPr>
  </w:style>
  <w:style w:type="paragraph" w:customStyle="1" w:styleId="ParaAttribute6">
    <w:name w:val="ParaAttribute6"/>
    <w:rsid w:val="00A429C6"/>
    <w:pPr>
      <w:wordWrap w:val="0"/>
      <w:spacing w:line="240" w:lineRule="auto"/>
    </w:pPr>
    <w:rPr>
      <w:rFonts w:ascii="Times New Roman" w:eastAsia="Batang" w:hAnsi="Times New Roman" w:cs="Times New Roman"/>
      <w:sz w:val="20"/>
      <w:szCs w:val="20"/>
    </w:rPr>
  </w:style>
  <w:style w:type="paragraph" w:customStyle="1" w:styleId="ParaAttribute7">
    <w:name w:val="ParaAttribute7"/>
    <w:rsid w:val="00A429C6"/>
    <w:pPr>
      <w:widowControl w:val="0"/>
      <w:wordWrap w:val="0"/>
      <w:spacing w:line="240" w:lineRule="auto"/>
    </w:pPr>
    <w:rPr>
      <w:rFonts w:ascii="Times New Roman" w:eastAsia="Batang" w:hAnsi="Times New Roman" w:cs="Times New Roman"/>
      <w:sz w:val="20"/>
      <w:szCs w:val="20"/>
    </w:rPr>
  </w:style>
  <w:style w:type="character" w:customStyle="1" w:styleId="CharAttribute1">
    <w:name w:val="CharAttribute1"/>
    <w:rsid w:val="00A429C6"/>
    <w:rPr>
      <w:rFonts w:ascii="Calibri" w:eastAsia="Calibri"/>
      <w:b/>
      <w:sz w:val="28"/>
    </w:rPr>
  </w:style>
  <w:style w:type="character" w:customStyle="1" w:styleId="CharAttribute10">
    <w:name w:val="CharAttribute10"/>
    <w:rsid w:val="00A429C6"/>
    <w:rPr>
      <w:rFonts w:ascii="Tahoma" w:eastAsia="Tahoma"/>
      <w:color w:val="FFFFFF"/>
      <w:sz w:val="36"/>
    </w:rPr>
  </w:style>
  <w:style w:type="character" w:customStyle="1" w:styleId="CharAttribute15">
    <w:name w:val="CharAttribute15"/>
    <w:rsid w:val="00A429C6"/>
    <w:rPr>
      <w:rFonts w:ascii="Calibri" w:eastAsia="Calibri"/>
      <w:sz w:val="22"/>
    </w:rPr>
  </w:style>
  <w:style w:type="paragraph" w:styleId="Header">
    <w:name w:val="header"/>
    <w:basedOn w:val="Normal"/>
    <w:link w:val="HeaderChar"/>
    <w:uiPriority w:val="99"/>
    <w:unhideWhenUsed/>
    <w:rsid w:val="00A42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9C6"/>
  </w:style>
  <w:style w:type="paragraph" w:styleId="Footer">
    <w:name w:val="footer"/>
    <w:basedOn w:val="Normal"/>
    <w:link w:val="FooterChar"/>
    <w:uiPriority w:val="99"/>
    <w:unhideWhenUsed/>
    <w:rsid w:val="00A42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9C6"/>
  </w:style>
  <w:style w:type="paragraph" w:customStyle="1" w:styleId="Default">
    <w:name w:val="Default"/>
    <w:rsid w:val="00A45B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27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djohnson001</dc:creator>
  <cp:keywords/>
  <dc:description/>
  <cp:lastModifiedBy>Milroy, Andy</cp:lastModifiedBy>
  <cp:revision>3</cp:revision>
  <dcterms:created xsi:type="dcterms:W3CDTF">2015-10-01T18:06:00Z</dcterms:created>
  <dcterms:modified xsi:type="dcterms:W3CDTF">2015-10-02T08:48:00Z</dcterms:modified>
</cp:coreProperties>
</file>